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07BF0D4A" w14:textId="77777777" w:rsidTr="007E1D85">
        <w:tc>
          <w:tcPr>
            <w:tcW w:w="5211" w:type="dxa"/>
            <w:hideMark/>
          </w:tcPr>
          <w:p w14:paraId="590481C8" w14:textId="77777777" w:rsidR="007E1D85" w:rsidRPr="008330E7" w:rsidRDefault="007E1D85" w:rsidP="00347C25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1CF3BD96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4DBCD47F" w14:textId="77777777" w:rsidR="00653617" w:rsidRPr="00746FF2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6030DE08" w14:textId="77777777" w:rsidR="00523D82" w:rsidRPr="00746FF2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B51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14:paraId="4DC2C733" w14:textId="77777777" w:rsidR="00523D82" w:rsidRPr="00746FF2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4460D7C1" w14:textId="77777777" w:rsidR="00523D82" w:rsidRPr="00746FF2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AF36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5241D3FD" w14:textId="31F19295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9D12B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9D12B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</w:t>
            </w:r>
            <w:proofErr w:type="gramEnd"/>
            <w:r w:rsidR="009D12B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07   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9D12B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25 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426E78B0" w14:textId="3F1786DC" w:rsidR="00523D82" w:rsidRPr="009D12B3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746FF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9D12B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N087710</w:t>
            </w:r>
          </w:p>
        </w:tc>
        <w:tc>
          <w:tcPr>
            <w:tcW w:w="4536" w:type="dxa"/>
          </w:tcPr>
          <w:p w14:paraId="2318C15F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76D9711" w14:textId="77777777" w:rsidR="00FF718B" w:rsidRDefault="00FF718B" w:rsidP="00FF718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493015" w14:textId="77777777" w:rsidR="00D76048" w:rsidRPr="00844CE8" w:rsidRDefault="00D76048" w:rsidP="00FF718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5CC6655A" w14:textId="77777777" w:rsidR="00D76048" w:rsidRPr="00844CE8" w:rsidRDefault="00D76048" w:rsidP="00FF718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422B11BA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53D2DB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FCCDD91" w14:textId="77777777" w:rsidR="002C76D7" w:rsidRDefault="00A9476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476C">
        <w:rPr>
          <w:rFonts w:ascii="Times New Roman" w:eastAsia="Times New Roman" w:hAnsi="Times New Roman"/>
          <w:sz w:val="28"/>
          <w:szCs w:val="28"/>
          <w:lang w:eastAsia="ru-RU"/>
        </w:rPr>
        <w:t>Ланиб</w:t>
      </w:r>
      <w:proofErr w:type="spellEnd"/>
    </w:p>
    <w:p w14:paraId="215D04DB" w14:textId="77777777" w:rsidR="00A9476C" w:rsidRPr="00A9476C" w:rsidRDefault="00A9476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8FFEBC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172C161E" w14:textId="77777777" w:rsidR="002C76D7" w:rsidRPr="00A9476C" w:rsidRDefault="00A9476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476C">
        <w:rPr>
          <w:rFonts w:ascii="Times New Roman" w:eastAsia="Times New Roman" w:hAnsi="Times New Roman"/>
          <w:sz w:val="28"/>
          <w:szCs w:val="28"/>
          <w:lang w:eastAsia="ru-RU"/>
        </w:rPr>
        <w:t>Лапатиниб</w:t>
      </w:r>
      <w:proofErr w:type="spellEnd"/>
    </w:p>
    <w:p w14:paraId="115929A2" w14:textId="77777777" w:rsidR="00A9476C" w:rsidRPr="00844CE8" w:rsidRDefault="00A9476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9EF030" w14:textId="77777777" w:rsidR="00D7604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00712E18" w14:textId="77777777" w:rsidR="00A9476C" w:rsidRPr="00A9476C" w:rsidRDefault="00A9476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76C">
        <w:rPr>
          <w:rFonts w:ascii="Times New Roman" w:eastAsia="Times New Roman" w:hAnsi="Times New Roman"/>
          <w:sz w:val="28"/>
          <w:szCs w:val="28"/>
          <w:lang w:eastAsia="ru-RU"/>
        </w:rPr>
        <w:t>Таблетки, покрытые пленочной оболочкой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250 мг</w:t>
      </w:r>
    </w:p>
    <w:p w14:paraId="1101FB3B" w14:textId="77777777" w:rsidR="00B01011" w:rsidRPr="00844CE8" w:rsidRDefault="00B0101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0FB5DE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39C0C3CD" w14:textId="77777777" w:rsidR="000556D6" w:rsidRPr="000556D6" w:rsidRDefault="000556D6" w:rsidP="000556D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0556D6">
        <w:rPr>
          <w:rFonts w:ascii="Times New Roman" w:hAnsi="Times New Roman"/>
          <w:color w:val="000000"/>
          <w:sz w:val="28"/>
          <w:szCs w:val="24"/>
        </w:rPr>
        <w:t>Антинеопластические</w:t>
      </w:r>
      <w:proofErr w:type="spellEnd"/>
      <w:r w:rsidRPr="000556D6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0556D6">
        <w:rPr>
          <w:rFonts w:ascii="Times New Roman" w:hAnsi="Times New Roman"/>
          <w:color w:val="000000"/>
          <w:sz w:val="28"/>
          <w:szCs w:val="24"/>
        </w:rPr>
        <w:t>имуномодулирующие</w:t>
      </w:r>
      <w:proofErr w:type="spellEnd"/>
      <w:r w:rsidRPr="000556D6">
        <w:rPr>
          <w:rFonts w:ascii="Times New Roman" w:hAnsi="Times New Roman"/>
          <w:color w:val="000000"/>
          <w:sz w:val="28"/>
          <w:szCs w:val="24"/>
        </w:rPr>
        <w:t xml:space="preserve"> средства. </w:t>
      </w:r>
      <w:proofErr w:type="spellStart"/>
      <w:r w:rsidRPr="000556D6">
        <w:rPr>
          <w:rFonts w:ascii="Times New Roman" w:hAnsi="Times New Roman"/>
          <w:color w:val="000000"/>
          <w:sz w:val="28"/>
          <w:szCs w:val="24"/>
        </w:rPr>
        <w:t>Антинеопластические</w:t>
      </w:r>
      <w:proofErr w:type="spellEnd"/>
      <w:r w:rsidRPr="000556D6">
        <w:rPr>
          <w:rFonts w:ascii="Times New Roman" w:hAnsi="Times New Roman"/>
          <w:color w:val="000000"/>
          <w:sz w:val="28"/>
          <w:szCs w:val="24"/>
        </w:rPr>
        <w:t xml:space="preserve"> препараты. </w:t>
      </w:r>
      <w:proofErr w:type="spellStart"/>
      <w:r w:rsidR="00C05DCE">
        <w:rPr>
          <w:rFonts w:ascii="Times New Roman" w:hAnsi="Times New Roman"/>
          <w:color w:val="000000"/>
          <w:sz w:val="28"/>
          <w:szCs w:val="24"/>
        </w:rPr>
        <w:t>П</w:t>
      </w:r>
      <w:r w:rsidR="00C05DCE" w:rsidRPr="000556D6">
        <w:rPr>
          <w:rFonts w:ascii="Times New Roman" w:hAnsi="Times New Roman"/>
          <w:color w:val="000000"/>
          <w:sz w:val="28"/>
          <w:szCs w:val="24"/>
        </w:rPr>
        <w:t>ротеинкиназы</w:t>
      </w:r>
      <w:proofErr w:type="spellEnd"/>
      <w:r w:rsidR="00C05DCE" w:rsidRPr="000556D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C05DCE">
        <w:rPr>
          <w:rFonts w:ascii="Times New Roman" w:hAnsi="Times New Roman"/>
          <w:color w:val="000000"/>
          <w:sz w:val="28"/>
          <w:szCs w:val="24"/>
        </w:rPr>
        <w:t>и</w:t>
      </w:r>
      <w:r w:rsidRPr="000556D6">
        <w:rPr>
          <w:rFonts w:ascii="Times New Roman" w:hAnsi="Times New Roman"/>
          <w:color w:val="000000"/>
          <w:sz w:val="28"/>
          <w:szCs w:val="24"/>
        </w:rPr>
        <w:t>нгибиторы</w:t>
      </w:r>
      <w:r w:rsidR="00C05DCE">
        <w:rPr>
          <w:rFonts w:ascii="Times New Roman" w:hAnsi="Times New Roman"/>
          <w:color w:val="000000"/>
          <w:sz w:val="28"/>
          <w:szCs w:val="24"/>
        </w:rPr>
        <w:t>.</w:t>
      </w:r>
      <w:r w:rsidRPr="000556D6">
        <w:rPr>
          <w:rFonts w:ascii="Times New Roman" w:hAnsi="Times New Roman"/>
          <w:color w:val="000000"/>
          <w:sz w:val="28"/>
          <w:szCs w:val="24"/>
        </w:rPr>
        <w:t xml:space="preserve"> И</w:t>
      </w:r>
      <w:r w:rsidR="00C05DCE">
        <w:rPr>
          <w:rFonts w:ascii="Times New Roman" w:hAnsi="Times New Roman"/>
          <w:color w:val="000000"/>
          <w:sz w:val="28"/>
          <w:szCs w:val="24"/>
        </w:rPr>
        <w:t>н</w:t>
      </w:r>
      <w:r w:rsidRPr="000556D6">
        <w:rPr>
          <w:rFonts w:ascii="Times New Roman" w:hAnsi="Times New Roman"/>
          <w:color w:val="000000"/>
          <w:sz w:val="28"/>
          <w:szCs w:val="24"/>
        </w:rPr>
        <w:t xml:space="preserve">гибиторы </w:t>
      </w:r>
      <w:proofErr w:type="spellStart"/>
      <w:r w:rsidRPr="000556D6">
        <w:rPr>
          <w:rFonts w:ascii="Times New Roman" w:hAnsi="Times New Roman"/>
          <w:color w:val="000000"/>
          <w:sz w:val="28"/>
          <w:szCs w:val="24"/>
        </w:rPr>
        <w:t>тирозинкиназы</w:t>
      </w:r>
      <w:proofErr w:type="spellEnd"/>
      <w:r w:rsidRPr="000556D6">
        <w:rPr>
          <w:rFonts w:ascii="Times New Roman" w:hAnsi="Times New Roman"/>
          <w:color w:val="000000"/>
          <w:sz w:val="28"/>
          <w:szCs w:val="24"/>
        </w:rPr>
        <w:t xml:space="preserve"> рецептора эпидермального фактора роста 2 (HER2) человека. </w:t>
      </w:r>
      <w:proofErr w:type="spellStart"/>
      <w:r w:rsidRPr="000556D6">
        <w:rPr>
          <w:rFonts w:ascii="Times New Roman" w:hAnsi="Times New Roman"/>
          <w:color w:val="000000"/>
          <w:sz w:val="28"/>
          <w:szCs w:val="24"/>
        </w:rPr>
        <w:t>Лапатиниб</w:t>
      </w:r>
      <w:proofErr w:type="spellEnd"/>
      <w:r w:rsidRPr="000556D6">
        <w:rPr>
          <w:rFonts w:ascii="Times New Roman" w:hAnsi="Times New Roman"/>
          <w:color w:val="000000"/>
          <w:sz w:val="28"/>
          <w:szCs w:val="24"/>
        </w:rPr>
        <w:t>.</w:t>
      </w:r>
    </w:p>
    <w:p w14:paraId="33246FDE" w14:textId="77777777" w:rsidR="002C76D7" w:rsidRDefault="000556D6" w:rsidP="000556D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4"/>
        </w:rPr>
      </w:pPr>
      <w:r w:rsidRPr="000556D6">
        <w:rPr>
          <w:rFonts w:ascii="Times New Roman" w:hAnsi="Times New Roman"/>
          <w:color w:val="000000"/>
          <w:sz w:val="28"/>
          <w:szCs w:val="24"/>
        </w:rPr>
        <w:t>Код АТХ L01EH01</w:t>
      </w:r>
    </w:p>
    <w:p w14:paraId="17E47875" w14:textId="77777777" w:rsidR="000556D6" w:rsidRPr="00844CE8" w:rsidRDefault="000556D6" w:rsidP="000556D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2EDEE0E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6CD268D9" w14:textId="77777777" w:rsidR="00A9476C" w:rsidRPr="005E0D89" w:rsidRDefault="00A9476C" w:rsidP="00A9476C">
      <w:pPr>
        <w:spacing w:after="0" w:line="20" w:lineRule="atLeast"/>
        <w:ind w:left="-5" w:right="6"/>
        <w:jc w:val="both"/>
        <w:rPr>
          <w:rFonts w:ascii="Times New Roman" w:hAnsi="Times New Roman"/>
          <w:sz w:val="28"/>
          <w:szCs w:val="24"/>
        </w:rPr>
      </w:pP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5E0D89">
        <w:rPr>
          <w:rFonts w:ascii="Times New Roman" w:hAnsi="Times New Roman"/>
          <w:sz w:val="28"/>
          <w:szCs w:val="24"/>
          <w:lang w:val="ru"/>
        </w:rPr>
        <w:t xml:space="preserve"> показан для лечения взрослых пациентов с раком молочной железы с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гиперэкспрессией</w:t>
      </w:r>
      <w:proofErr w:type="spellEnd"/>
      <w:r w:rsidRPr="005E0D89">
        <w:rPr>
          <w:rFonts w:ascii="Times New Roman" w:hAnsi="Times New Roman"/>
          <w:sz w:val="28"/>
          <w:szCs w:val="24"/>
          <w:lang w:val="ru"/>
        </w:rPr>
        <w:t xml:space="preserve"> HER2 (ErbB2):</w:t>
      </w:r>
    </w:p>
    <w:p w14:paraId="5F0D3DE6" w14:textId="77777777" w:rsidR="00A9476C" w:rsidRPr="005E0D89" w:rsidRDefault="00A9476C" w:rsidP="00A9476C">
      <w:pPr>
        <w:spacing w:after="0" w:line="20" w:lineRule="atLeast"/>
        <w:ind w:left="-5" w:right="6"/>
        <w:jc w:val="both"/>
        <w:rPr>
          <w:rFonts w:ascii="Times New Roman" w:hAnsi="Times New Roman"/>
          <w:sz w:val="28"/>
          <w:szCs w:val="24"/>
        </w:rPr>
      </w:pPr>
      <w:r w:rsidRPr="005E0D89">
        <w:rPr>
          <w:rFonts w:ascii="Times New Roman" w:hAnsi="Times New Roman"/>
          <w:sz w:val="28"/>
          <w:szCs w:val="24"/>
          <w:lang w:val="ru"/>
        </w:rPr>
        <w:t>-</w:t>
      </w:r>
      <w:r w:rsidR="000F05E3" w:rsidRPr="005E0D89">
        <w:rPr>
          <w:rFonts w:ascii="Times New Roman" w:hAnsi="Times New Roman"/>
          <w:sz w:val="28"/>
          <w:szCs w:val="24"/>
          <w:lang w:val="ru"/>
        </w:rPr>
        <w:t xml:space="preserve"> </w:t>
      </w:r>
      <w:r w:rsidRPr="005E0D89">
        <w:rPr>
          <w:rFonts w:ascii="Times New Roman" w:hAnsi="Times New Roman"/>
          <w:sz w:val="28"/>
          <w:szCs w:val="24"/>
          <w:lang w:val="ru"/>
        </w:rPr>
        <w:t xml:space="preserve">в комбинации с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капецитабином</w:t>
      </w:r>
      <w:proofErr w:type="spellEnd"/>
      <w:r w:rsidRPr="005E0D89">
        <w:rPr>
          <w:rFonts w:ascii="Times New Roman" w:hAnsi="Times New Roman"/>
          <w:sz w:val="28"/>
          <w:szCs w:val="24"/>
          <w:lang w:val="ru"/>
        </w:rPr>
        <w:t xml:space="preserve"> у больных с прогрессированием заболевания при начальной терапии метастатических состояний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атрациклинами</w:t>
      </w:r>
      <w:proofErr w:type="spellEnd"/>
      <w:r w:rsidRPr="005E0D89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таксанами</w:t>
      </w:r>
      <w:proofErr w:type="spellEnd"/>
      <w:r w:rsidRPr="005E0D89">
        <w:rPr>
          <w:rFonts w:ascii="Times New Roman" w:hAnsi="Times New Roman"/>
          <w:sz w:val="28"/>
          <w:szCs w:val="24"/>
          <w:lang w:val="ru"/>
        </w:rPr>
        <w:t xml:space="preserve"> и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трастузумабом</w:t>
      </w:r>
      <w:proofErr w:type="spellEnd"/>
    </w:p>
    <w:p w14:paraId="1A0C7E25" w14:textId="77777777" w:rsidR="00A9476C" w:rsidRPr="005E0D89" w:rsidRDefault="00A9476C" w:rsidP="00A9476C">
      <w:pPr>
        <w:spacing w:after="0" w:line="20" w:lineRule="atLeast"/>
        <w:ind w:left="-5" w:right="6"/>
        <w:jc w:val="both"/>
        <w:rPr>
          <w:rFonts w:ascii="Times New Roman" w:hAnsi="Times New Roman"/>
          <w:sz w:val="28"/>
          <w:szCs w:val="24"/>
        </w:rPr>
      </w:pPr>
      <w:r w:rsidRPr="005E0D89">
        <w:rPr>
          <w:rFonts w:ascii="Times New Roman" w:hAnsi="Times New Roman"/>
          <w:sz w:val="28"/>
          <w:szCs w:val="24"/>
          <w:lang w:val="ru"/>
        </w:rPr>
        <w:t>-</w:t>
      </w:r>
      <w:r w:rsidR="000F05E3" w:rsidRPr="005E0D89">
        <w:rPr>
          <w:rFonts w:ascii="Times New Roman" w:hAnsi="Times New Roman"/>
          <w:sz w:val="28"/>
          <w:szCs w:val="24"/>
          <w:lang w:val="ru"/>
        </w:rPr>
        <w:t xml:space="preserve"> </w:t>
      </w:r>
      <w:r w:rsidRPr="005E0D89">
        <w:rPr>
          <w:rFonts w:ascii="Times New Roman" w:hAnsi="Times New Roman"/>
          <w:sz w:val="28"/>
          <w:szCs w:val="24"/>
          <w:lang w:val="ru"/>
        </w:rPr>
        <w:t xml:space="preserve">в комбинации с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трастузумабом</w:t>
      </w:r>
      <w:proofErr w:type="spellEnd"/>
      <w:r w:rsidRPr="005E0D89">
        <w:rPr>
          <w:rFonts w:ascii="Times New Roman" w:hAnsi="Times New Roman"/>
          <w:sz w:val="28"/>
          <w:szCs w:val="24"/>
          <w:lang w:val="ru"/>
        </w:rPr>
        <w:t xml:space="preserve"> и химиотерапией у больных с прогрессированием гормонально негативного метастатического заболевания на начальной терапии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трастузумабом</w:t>
      </w:r>
      <w:proofErr w:type="spellEnd"/>
    </w:p>
    <w:p w14:paraId="6C4FFFE5" w14:textId="77777777" w:rsidR="00A9476C" w:rsidRPr="00A9476C" w:rsidRDefault="00A9476C" w:rsidP="00A9476C">
      <w:pPr>
        <w:spacing w:after="0" w:line="20" w:lineRule="atLeast"/>
        <w:ind w:left="-5" w:right="6"/>
        <w:jc w:val="both"/>
        <w:rPr>
          <w:rFonts w:ascii="Times New Roman" w:hAnsi="Times New Roman"/>
          <w:sz w:val="28"/>
          <w:szCs w:val="24"/>
          <w:lang w:val="ru"/>
        </w:rPr>
      </w:pPr>
      <w:r w:rsidRPr="005E0D89">
        <w:rPr>
          <w:rFonts w:ascii="Times New Roman" w:hAnsi="Times New Roman"/>
          <w:sz w:val="28"/>
          <w:szCs w:val="24"/>
          <w:lang w:val="ru"/>
        </w:rPr>
        <w:t>-</w:t>
      </w:r>
      <w:r w:rsidR="000F05E3" w:rsidRPr="005E0D89">
        <w:rPr>
          <w:rFonts w:ascii="Times New Roman" w:hAnsi="Times New Roman"/>
          <w:sz w:val="28"/>
          <w:szCs w:val="24"/>
          <w:lang w:val="ru"/>
        </w:rPr>
        <w:t xml:space="preserve"> </w:t>
      </w:r>
      <w:r w:rsidRPr="005E0D89">
        <w:rPr>
          <w:rFonts w:ascii="Times New Roman" w:hAnsi="Times New Roman"/>
          <w:sz w:val="28"/>
          <w:szCs w:val="24"/>
          <w:lang w:val="ru"/>
        </w:rPr>
        <w:t xml:space="preserve">лечение гормонально позитивного метастатического заболевания в комбинации с ингибиторами ароматазы у женщин в период постменопаузы, не получающих химиотерапию. </w:t>
      </w:r>
      <w:r w:rsidR="00F92469">
        <w:rPr>
          <w:rFonts w:ascii="Times New Roman" w:hAnsi="Times New Roman"/>
          <w:sz w:val="28"/>
          <w:szCs w:val="24"/>
        </w:rPr>
        <w:t>Известно</w:t>
      </w:r>
      <w:r w:rsidR="007E708F" w:rsidRPr="005E0D89">
        <w:rPr>
          <w:rFonts w:ascii="Times New Roman" w:hAnsi="Times New Roman"/>
          <w:sz w:val="28"/>
          <w:szCs w:val="24"/>
          <w:lang w:val="ru"/>
        </w:rPr>
        <w:t xml:space="preserve">, что у </w:t>
      </w:r>
      <w:r w:rsidRPr="005E0D89">
        <w:rPr>
          <w:rFonts w:ascii="Times New Roman" w:hAnsi="Times New Roman"/>
          <w:sz w:val="28"/>
          <w:szCs w:val="24"/>
          <w:lang w:val="ru"/>
        </w:rPr>
        <w:t>пациент</w:t>
      </w:r>
      <w:r w:rsidR="007E708F" w:rsidRPr="005E0D89">
        <w:rPr>
          <w:rFonts w:ascii="Times New Roman" w:hAnsi="Times New Roman"/>
          <w:sz w:val="28"/>
          <w:szCs w:val="24"/>
          <w:lang w:val="ru"/>
        </w:rPr>
        <w:t>ов</w:t>
      </w:r>
      <w:r w:rsidRPr="005E0D89">
        <w:rPr>
          <w:rFonts w:ascii="Times New Roman" w:hAnsi="Times New Roman"/>
          <w:sz w:val="28"/>
          <w:szCs w:val="24"/>
          <w:lang w:val="ru"/>
        </w:rPr>
        <w:t xml:space="preserve"> ранее не принима</w:t>
      </w:r>
      <w:r w:rsidR="007E708F" w:rsidRPr="005E0D89">
        <w:rPr>
          <w:rFonts w:ascii="Times New Roman" w:hAnsi="Times New Roman"/>
          <w:sz w:val="28"/>
          <w:szCs w:val="24"/>
          <w:lang w:val="ru"/>
        </w:rPr>
        <w:t>ющих</w:t>
      </w:r>
      <w:r w:rsidRPr="005E0D89">
        <w:rPr>
          <w:rFonts w:ascii="Times New Roman" w:hAnsi="Times New Roman"/>
          <w:sz w:val="28"/>
          <w:szCs w:val="24"/>
          <w:lang w:val="ru"/>
        </w:rPr>
        <w:t xml:space="preserve">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трастузумаб</w:t>
      </w:r>
      <w:proofErr w:type="spellEnd"/>
      <w:r w:rsidRPr="005E0D89">
        <w:rPr>
          <w:rFonts w:ascii="Times New Roman" w:hAnsi="Times New Roman"/>
          <w:sz w:val="28"/>
          <w:szCs w:val="24"/>
          <w:lang w:val="ru"/>
        </w:rPr>
        <w:t xml:space="preserve"> или ингибиторы ароматазы</w:t>
      </w:r>
      <w:r w:rsidR="007E708F" w:rsidRPr="005E0D89">
        <w:rPr>
          <w:rFonts w:ascii="Times New Roman" w:hAnsi="Times New Roman"/>
          <w:sz w:val="28"/>
          <w:szCs w:val="24"/>
          <w:lang w:val="ru"/>
        </w:rPr>
        <w:t>,</w:t>
      </w:r>
      <w:r w:rsidRPr="005E0D89">
        <w:rPr>
          <w:rFonts w:ascii="Times New Roman" w:hAnsi="Times New Roman"/>
          <w:sz w:val="28"/>
          <w:szCs w:val="24"/>
          <w:lang w:val="ru"/>
        </w:rPr>
        <w:t xml:space="preserve"> </w:t>
      </w:r>
      <w:r w:rsidR="007E708F" w:rsidRPr="005E0D89">
        <w:rPr>
          <w:rFonts w:ascii="Times New Roman" w:hAnsi="Times New Roman"/>
          <w:sz w:val="28"/>
          <w:szCs w:val="24"/>
          <w:lang w:val="ru"/>
        </w:rPr>
        <w:t>д</w:t>
      </w:r>
      <w:r w:rsidRPr="005E0D89">
        <w:rPr>
          <w:rFonts w:ascii="Times New Roman" w:hAnsi="Times New Roman"/>
          <w:sz w:val="28"/>
          <w:szCs w:val="24"/>
          <w:lang w:val="ru"/>
        </w:rPr>
        <w:t xml:space="preserve">анные об эффективности у этих пациентов такой комбинации препаратов, как </w:t>
      </w:r>
      <w:proofErr w:type="spellStart"/>
      <w:r w:rsidRPr="005E0D89">
        <w:rPr>
          <w:rFonts w:ascii="Times New Roman" w:hAnsi="Times New Roman"/>
          <w:sz w:val="28"/>
          <w:szCs w:val="24"/>
          <w:lang w:val="ru"/>
        </w:rPr>
        <w:t>трастузумаб</w:t>
      </w:r>
      <w:proofErr w:type="spellEnd"/>
      <w:r w:rsidRPr="005E0D89">
        <w:rPr>
          <w:rFonts w:ascii="Times New Roman" w:hAnsi="Times New Roman"/>
          <w:sz w:val="28"/>
          <w:szCs w:val="24"/>
          <w:lang w:val="ru"/>
        </w:rPr>
        <w:t xml:space="preserve"> и ингибиторы ароматазы, отсутствуют.</w:t>
      </w:r>
    </w:p>
    <w:p w14:paraId="5418E5B5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3131C9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2C4FCE7A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0CB0EBBA" w14:textId="77777777" w:rsidR="002C6301" w:rsidRDefault="00D84237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237">
        <w:rPr>
          <w:rFonts w:ascii="Times New Roman" w:hAnsi="Times New Roman"/>
          <w:sz w:val="28"/>
          <w:szCs w:val="28"/>
        </w:rPr>
        <w:t xml:space="preserve">Повышенная чувствительность к активному веществу или к любому из вспомогательных веществ </w:t>
      </w:r>
    </w:p>
    <w:p w14:paraId="7A4FE408" w14:textId="77777777" w:rsidR="007D0E8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65EC0037" w14:textId="77777777" w:rsidR="00D84237" w:rsidRPr="00D84237" w:rsidRDefault="00D84237" w:rsidP="00D84237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D84237">
        <w:rPr>
          <w:rFonts w:ascii="Times New Roman" w:hAnsi="Times New Roman"/>
          <w:i/>
          <w:sz w:val="28"/>
          <w:szCs w:val="24"/>
          <w:lang w:val="ru"/>
        </w:rPr>
        <w:t xml:space="preserve">Воздействие других лекарственных средств на </w:t>
      </w:r>
      <w:proofErr w:type="spellStart"/>
      <w:r w:rsidRPr="00D84237">
        <w:rPr>
          <w:rFonts w:ascii="Times New Roman" w:hAnsi="Times New Roman"/>
          <w:i/>
          <w:sz w:val="28"/>
          <w:szCs w:val="24"/>
          <w:lang w:val="ru"/>
        </w:rPr>
        <w:t>лапатиниб</w:t>
      </w:r>
      <w:proofErr w:type="spellEnd"/>
      <w:r w:rsidRPr="00D84237">
        <w:rPr>
          <w:rFonts w:ascii="Times New Roman" w:hAnsi="Times New Roman"/>
          <w:i/>
          <w:sz w:val="28"/>
          <w:szCs w:val="24"/>
          <w:lang w:val="ru"/>
        </w:rPr>
        <w:t xml:space="preserve"> </w:t>
      </w:r>
    </w:p>
    <w:p w14:paraId="29D11AD1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преимущественно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метаболизируется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посредством CYP3A. </w:t>
      </w:r>
    </w:p>
    <w:p w14:paraId="55FE9FC9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У пациентов, принимающих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кетоконазол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сильный ингибитор CYP3A4, в дозе 200 мг два раза в день в течение 7 дней, наблюдалось увеличение системного воздействия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(100 мг в сутки) и увеличение периода полувыведения. Следует избегать одновременного применения препарата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сильных ингибиторов CYP3A (например,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ритонавир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саквинавир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телитромицин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кетоконазол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итраконазол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вориконазол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позаконазол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нефазодон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). Одновременное применение препарата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ингибиторов CYP3A средней степени необходимо соблюдать осторожность и тщательно наблюдать за клиническим состоянием пациента и возможными нежелательными реакциями. </w:t>
      </w:r>
    </w:p>
    <w:p w14:paraId="2444D663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У пациентов, принимающих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карбамазепин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индуктор CYP3A4, в дозе </w:t>
      </w:r>
      <w:r w:rsidR="0016582E">
        <w:rPr>
          <w:rFonts w:ascii="Times New Roman" w:hAnsi="Times New Roman"/>
          <w:sz w:val="28"/>
          <w:szCs w:val="24"/>
          <w:lang w:val="ru"/>
        </w:rPr>
        <w:t xml:space="preserve">    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100 мг два раза в день в течение 3 дней и 200 мг два раза в день в течение 17 дней, системное воздействие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снизилось</w:t>
      </w:r>
      <w:r w:rsidR="0016582E">
        <w:rPr>
          <w:rFonts w:ascii="Times New Roman" w:hAnsi="Times New Roman"/>
          <w:sz w:val="28"/>
          <w:szCs w:val="24"/>
          <w:lang w:val="ru"/>
        </w:rPr>
        <w:t xml:space="preserve">. 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Одновременного применения препарата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индукторов CYP3A4 (например,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рифампицин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рифабутин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карбамазепин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фенитоин, зверобой продырявленный) следует избегать. </w:t>
      </w:r>
    </w:p>
    <w:p w14:paraId="7FE14ACF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является субстратом транспортных белков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Pgp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BCRP. Ингибиторы (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кетоконазол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итраконазол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хинидин,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верапамил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>, циклоспорин, эритромицин) и индукторы (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рифампицин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зверобой продырявленный) этих протеинов и могут изменить экспозицию и/или распределение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00FFE5E8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Растворимость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является рН-зависимой. Совместное применение с препаратами, повышающими рН желудочного сока, не рекомендуется, так как это может повлиять на снижение растворимости и всасывания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Предварительное применение препаратов из группы ингибиторов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протоновой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помпы (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эзомепразол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) снижает экспозицию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Этот эффект снижается с увеличением возраста приблизительно с 40 до 60 лет. </w:t>
      </w:r>
    </w:p>
    <w:p w14:paraId="7423AEC0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Влияние </w:t>
      </w:r>
      <w:proofErr w:type="spellStart"/>
      <w:r w:rsidRPr="004E7623">
        <w:rPr>
          <w:rFonts w:ascii="Times New Roman" w:hAnsi="Times New Roman"/>
          <w:i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 на другие лекарственные средства </w:t>
      </w:r>
    </w:p>
    <w:p w14:paraId="17F3E1CE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2B7135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4E7623">
        <w:rPr>
          <w:rFonts w:ascii="Times New Roman" w:hAnsi="Times New Roman"/>
          <w:sz w:val="28"/>
          <w:szCs w:val="24"/>
          <w:lang w:val="ru"/>
        </w:rPr>
        <w:t>ингибирует</w:t>
      </w:r>
      <w:r w:rsidRPr="002B7135">
        <w:rPr>
          <w:rFonts w:ascii="Times New Roman" w:hAnsi="Times New Roman"/>
          <w:sz w:val="28"/>
          <w:szCs w:val="24"/>
          <w:lang w:val="en-US"/>
        </w:rPr>
        <w:t xml:space="preserve"> CYP3A4 </w:t>
      </w:r>
      <w:r w:rsidRPr="002B7135">
        <w:rPr>
          <w:rFonts w:ascii="Times New Roman" w:hAnsi="Times New Roman"/>
          <w:i/>
          <w:iCs/>
          <w:sz w:val="28"/>
          <w:szCs w:val="24"/>
          <w:lang w:val="en-US"/>
        </w:rPr>
        <w:t>in vitro</w:t>
      </w:r>
      <w:r w:rsidR="002B7135" w:rsidRPr="002B7135">
        <w:rPr>
          <w:rFonts w:ascii="Times New Roman" w:hAnsi="Times New Roman"/>
          <w:sz w:val="28"/>
          <w:szCs w:val="24"/>
          <w:lang w:val="en-US"/>
        </w:rPr>
        <w:t xml:space="preserve">. 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Одновременное применение </w:t>
      </w:r>
      <w:proofErr w:type="spellStart"/>
      <w:r w:rsidR="002B7135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мидазоламом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принимаемым перорально, приводит к увеличению АUC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мидазолама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Не наблюдалось клинически значимого увеличения АUC при внутривенном введении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мидазолама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Совместное применение препарата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пероральными препаратами с узким </w:t>
      </w:r>
      <w:r w:rsidRPr="004E7623">
        <w:rPr>
          <w:rFonts w:ascii="Times New Roman" w:hAnsi="Times New Roman"/>
          <w:sz w:val="28"/>
          <w:szCs w:val="24"/>
          <w:lang w:val="ru"/>
        </w:rPr>
        <w:lastRenderedPageBreak/>
        <w:t xml:space="preserve">терапевтическим действием, являющимися субстратами CYP3A4 (например,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цизаприд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квинидин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) не рекомендуется. </w:t>
      </w:r>
    </w:p>
    <w:p w14:paraId="022A69FE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ингибирует CYP2C8 </w:t>
      </w:r>
      <w:proofErr w:type="spellStart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>in</w:t>
      </w:r>
      <w:proofErr w:type="spellEnd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 xml:space="preserve"> </w:t>
      </w:r>
      <w:proofErr w:type="spellStart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>vitro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Следует избегать совместного применения препарата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препаратами с узким терапевтическим </w:t>
      </w:r>
      <w:r w:rsidR="002B7135">
        <w:rPr>
          <w:rFonts w:ascii="Times New Roman" w:hAnsi="Times New Roman"/>
          <w:sz w:val="28"/>
          <w:szCs w:val="24"/>
          <w:lang w:val="ru"/>
        </w:rPr>
        <w:t>действием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, являющимися субстратами CYP2C8 (например,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репаглинидом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). </w:t>
      </w:r>
    </w:p>
    <w:p w14:paraId="3030D3B2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Совместное применение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паклитаксела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вводимого внутривенно, увеличивает экспозицию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паклитаксела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в связи с ингибированием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CYP2C8 и/или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Pgp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При совместном применении данных препаратов наблюдалось увеличение частоты и тяжести диареи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нейтропении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Необходимо соблюдать осторожность при совместном применении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паклитаксела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5C3623C3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Совместное назначение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доцетаксела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применяемого внутривенно, не оказывало значительного влияния на AUC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C</w:t>
      </w:r>
      <w:r w:rsidRPr="004E7623">
        <w:rPr>
          <w:rFonts w:ascii="Times New Roman" w:hAnsi="Times New Roman"/>
          <w:sz w:val="28"/>
          <w:szCs w:val="24"/>
          <w:vertAlign w:val="subscript"/>
          <w:lang w:val="ru"/>
        </w:rPr>
        <w:t>max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активных субстанций обоих препаратов. Тем не менее, отмечалась увеличение случаев развития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доцетаксел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-индуцированной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нейтропении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2406E75A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При совместном применении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иринотеканом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(как часть схемы лечения FOLFIRI - комбинированная химиотерапия с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фолиновой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кислотой,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фторурацилом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иринотеканом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) наблюдалось увеличение AUC активного метаболита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иринотекана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SN-38. Точный механизм этого взаимодействия неизвестен, но предполагается, что это происходит из-за ингибирования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одного из транспортных белков. Необходим тщательный мониторинг побочных реакций и рассмотрение возможности снижения дозы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иринотекана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при совместном применении </w:t>
      </w:r>
      <w:proofErr w:type="spellStart"/>
      <w:r w:rsidR="00616058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иринотеканом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37E636AC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ингибирует транспортный белок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Pgp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</w:t>
      </w:r>
      <w:proofErr w:type="spellStart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>in</w:t>
      </w:r>
      <w:proofErr w:type="spellEnd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 xml:space="preserve"> </w:t>
      </w:r>
      <w:proofErr w:type="spellStart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>vitro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Одновременное применение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дигоксином, принимаемым перорально, приводит к увеличению АUC дигоксина. Следует с осторожностью назначать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совместно с препаратами с узким терапевтическим действием, являющихся субстратами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Pgp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а также рассмотреть возможность снижения дозы субстрата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Pgp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15CC2932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ингибирует транспортные белки BCRP и OATP1B1 </w:t>
      </w:r>
      <w:proofErr w:type="spellStart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>in</w:t>
      </w:r>
      <w:proofErr w:type="spellEnd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 xml:space="preserve"> </w:t>
      </w:r>
      <w:proofErr w:type="spellStart"/>
      <w:r w:rsidRPr="004E7623">
        <w:rPr>
          <w:rFonts w:ascii="Times New Roman" w:hAnsi="Times New Roman"/>
          <w:i/>
          <w:iCs/>
          <w:sz w:val="28"/>
          <w:szCs w:val="24"/>
          <w:lang w:val="ru"/>
        </w:rPr>
        <w:t>vitro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  <w:r w:rsidR="00B40CC4">
        <w:rPr>
          <w:rFonts w:ascii="Times New Roman" w:hAnsi="Times New Roman"/>
          <w:sz w:val="28"/>
          <w:szCs w:val="24"/>
          <w:lang w:val="ru"/>
        </w:rPr>
        <w:t>З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начение данных результатов не было определено. Не исключается воздействие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на фармакокинетику субстратов BCRP (напр.,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топотекан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) и ОАТР1В1 (напр.,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розувастатин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). </w:t>
      </w:r>
    </w:p>
    <w:p w14:paraId="54552C4B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Совместное применение </w:t>
      </w:r>
      <w:proofErr w:type="spellStart"/>
      <w:r w:rsidR="00B40CC4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капецитабином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летрозолом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или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трастузумабом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не влияет на фармакокинетические параметры этих препаратов (или метаболитов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капецитабина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) или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62911DDF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Взаимодействие с пищей и напитками </w:t>
      </w:r>
    </w:p>
    <w:p w14:paraId="7433F20A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Биодоступность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может возрастать в 4 раза и зависит от насыщенности пищи жирами. В зависимости от типа пищи биодоступность увеличивается приблизительно в 2–3 раза, когда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принимают через 1 час после еды по сравнению с приемом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за 1 час до первого приема пищи. </w:t>
      </w:r>
    </w:p>
    <w:p w14:paraId="07D95768" w14:textId="77777777" w:rsidR="004E7623" w:rsidRPr="004E7623" w:rsidRDefault="004E7623" w:rsidP="004E762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lastRenderedPageBreak/>
        <w:t xml:space="preserve">Грейпфрутовый сок может ингибировать CYP3A4 в стенках кишечника и приводить к увеличению биодоступности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поэтому не должен применяться вместе с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4E7623">
        <w:rPr>
          <w:rFonts w:ascii="Times New Roman" w:hAnsi="Times New Roman"/>
          <w:sz w:val="28"/>
          <w:szCs w:val="24"/>
        </w:rPr>
        <w:t>.</w:t>
      </w:r>
    </w:p>
    <w:p w14:paraId="37FAE84E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2FAEC2AB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Согласно имеющимся данным </w:t>
      </w:r>
      <w:proofErr w:type="spellStart"/>
      <w:r w:rsidR="007617F4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в сочетании с химиотерапией является менее эффективным, чем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трастузумаб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в сочетании с химиотерапией. </w:t>
      </w:r>
    </w:p>
    <w:p w14:paraId="5E6ED4CA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proofErr w:type="spellStart"/>
      <w:r w:rsidRPr="004E7623">
        <w:rPr>
          <w:rFonts w:ascii="Times New Roman" w:hAnsi="Times New Roman"/>
          <w:i/>
          <w:sz w:val="28"/>
          <w:szCs w:val="24"/>
          <w:lang w:val="ru"/>
        </w:rPr>
        <w:t>Кардиотоксичность</w:t>
      </w:r>
      <w:proofErr w:type="spellEnd"/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 </w:t>
      </w:r>
    </w:p>
    <w:p w14:paraId="5CE62BD6" w14:textId="77777777" w:rsidR="004E7623" w:rsidRPr="00F92469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Сообщалось о случаях уменьшения фракции выброса левого желудочка, связанных с приемом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Действие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не оценивалось в отношении пациентов с симптомами сердечной недостаточности. Необходимо соблюдать осторожность при назначении </w:t>
      </w:r>
      <w:proofErr w:type="spellStart"/>
      <w:r w:rsidR="00483247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пациентам с клиническими состояниями, которые могут привести к ухудшению функции левого желудочка (в том числе при совместном введении с потенциально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кардиотоксичными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препаратами). Перед началом лечения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всем пациентам необходимо оценить сердечную функцию, а также определить уровень фракции выброса левого желудочка, чтобы убедиться, что уровень фракции выброса левого желудочка находится в пределах допустимых значений. Необходимо продолжать оценивать фракцию выброса левого желудочка во время лечения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>, чтобы фракция выброса левого желудочка не снизилась до неприемлемого уровня. В некоторых случаях снижение фракции выброса левого желудочка может быть очень серьезным и привести к сердечной недостаточности. Сообщалось о смертельных случаях, причина которых не определена</w:t>
      </w:r>
      <w:r w:rsidRPr="00F92469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052CA483" w14:textId="77777777" w:rsidR="004E7623" w:rsidRPr="00F92469" w:rsidRDefault="007617F4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F92469">
        <w:rPr>
          <w:rFonts w:ascii="Times New Roman" w:hAnsi="Times New Roman"/>
          <w:sz w:val="28"/>
          <w:szCs w:val="24"/>
        </w:rPr>
        <w:t xml:space="preserve">Существуют данные, что у лиц с солидными опухолями высокой стадии продемонстрировано </w:t>
      </w:r>
      <w:r w:rsidRPr="00F92469">
        <w:rPr>
          <w:rFonts w:ascii="Times New Roman" w:hAnsi="Times New Roman"/>
          <w:sz w:val="28"/>
          <w:szCs w:val="24"/>
          <w:lang w:val="ru"/>
        </w:rPr>
        <w:t>з</w:t>
      </w:r>
      <w:r w:rsidR="004E7623" w:rsidRPr="00F92469">
        <w:rPr>
          <w:rFonts w:ascii="Times New Roman" w:hAnsi="Times New Roman"/>
          <w:sz w:val="28"/>
          <w:szCs w:val="24"/>
          <w:lang w:val="ru"/>
        </w:rPr>
        <w:t xml:space="preserve">ависящее от концентрации увеличение интервала </w:t>
      </w:r>
      <w:proofErr w:type="spellStart"/>
      <w:r w:rsidR="004E7623" w:rsidRPr="00F92469">
        <w:rPr>
          <w:rFonts w:ascii="Times New Roman" w:hAnsi="Times New Roman"/>
          <w:sz w:val="28"/>
          <w:szCs w:val="24"/>
          <w:lang w:val="ru"/>
        </w:rPr>
        <w:t>QTc</w:t>
      </w:r>
      <w:proofErr w:type="spellEnd"/>
      <w:r w:rsidR="004E7623" w:rsidRPr="00F92469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1CAFDB0E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F92469">
        <w:rPr>
          <w:rFonts w:ascii="Times New Roman" w:hAnsi="Times New Roman"/>
          <w:sz w:val="28"/>
          <w:szCs w:val="24"/>
          <w:lang w:val="ru"/>
        </w:rPr>
        <w:t>Необходимо соблюдать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 осторожность при назначении </w:t>
      </w:r>
      <w:proofErr w:type="spellStart"/>
      <w:r w:rsidR="00295465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пациентам с клиническими состояниями, которые могут привести к удлинению интервала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QTc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(включая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гипокалиемию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гипомагниемию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синдром врожденного длинного интервала QT), а также при одновременном назначении других медицинских препаратов, о которых известно, что они способствуют удлинению интервала QT, или при наличии клинических состояний, которые увеличивают воздействие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например, при одновременном приеме сильных ингибиторов CYP3A4.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Гипокалиемия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гипомагниемия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должны быть скорректированы до начала терапии. До начала лечения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 спустя две недели после начала приема препарата нужно выполнить ЭКГ с измерением интервала QT. При наличии клинических показаний, например, после начала одновременного приема препаратов, которые могут влиять на длину интервала QT или взаимодействовать с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также следует предусмотреть выполнение ЭКГ. </w:t>
      </w:r>
    </w:p>
    <w:p w14:paraId="21737B09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E7623">
        <w:rPr>
          <w:rFonts w:ascii="Times New Roman" w:hAnsi="Times New Roman"/>
          <w:i/>
          <w:sz w:val="28"/>
          <w:szCs w:val="24"/>
          <w:lang w:val="ru"/>
        </w:rPr>
        <w:lastRenderedPageBreak/>
        <w:t xml:space="preserve">Интерстициальный легочный процесс и </w:t>
      </w:r>
      <w:proofErr w:type="spellStart"/>
      <w:r w:rsidRPr="004E7623">
        <w:rPr>
          <w:rFonts w:ascii="Times New Roman" w:hAnsi="Times New Roman"/>
          <w:i/>
          <w:sz w:val="28"/>
          <w:szCs w:val="24"/>
          <w:lang w:val="ru"/>
        </w:rPr>
        <w:t>пневмонит</w:t>
      </w:r>
      <w:proofErr w:type="spellEnd"/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 </w:t>
      </w:r>
    </w:p>
    <w:p w14:paraId="6643BEAA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Сообщалось о случаях легочной токсичности, включая интерстициальное заболевание легких 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пневмонит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, связанных с применением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>. Пациенты должны контролироваться на предмет наличия симптомов легочной токсичности (одышка, кашель, лихорадка), и пациентам, которые испытывают симптомы 3 степени или выше</w:t>
      </w:r>
      <w:r w:rsidR="00483247">
        <w:rPr>
          <w:rFonts w:ascii="Times New Roman" w:hAnsi="Times New Roman"/>
          <w:sz w:val="28"/>
          <w:szCs w:val="24"/>
          <w:lang w:val="ru"/>
        </w:rPr>
        <w:t xml:space="preserve">, 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следует прекратить лечение препаратом. Легочная токсичность может быть тяжелой и привести к дыхательной недостаточности. Сообщалось о смертельных случаях, причина которых не определена. </w:t>
      </w:r>
    </w:p>
    <w:p w14:paraId="4FF67B04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proofErr w:type="spellStart"/>
      <w:r w:rsidRPr="004E7623">
        <w:rPr>
          <w:rFonts w:ascii="Times New Roman" w:hAnsi="Times New Roman"/>
          <w:i/>
          <w:sz w:val="28"/>
          <w:szCs w:val="24"/>
          <w:lang w:val="ru"/>
        </w:rPr>
        <w:t>Гепатотоксичность</w:t>
      </w:r>
      <w:proofErr w:type="spellEnd"/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 </w:t>
      </w:r>
    </w:p>
    <w:p w14:paraId="3DDA1A93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Применение </w:t>
      </w:r>
      <w:proofErr w:type="spellStart"/>
      <w:r w:rsidR="00ED1199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сопровождается токсическим влиянием препарата на печень, что в редких случаях может привести к летальному исходу.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Гепатотоксичность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может развиться в период от нескольких дней до нескольких месяцев от начала терапии. Пациенты должны быть предупреждены о возможной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гепатотоксичности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в начале терапии. Функцию печени (уровень трансаминазы, билирубина и щелочной фосфатазы) следует контролировать до начала лечения, а затем ежемесячно либо по клиническим показаниям. Пациентам с тяжелым нарушением функции печени необходимо отменить терапию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без последующего возобновления. </w:t>
      </w:r>
    </w:p>
    <w:p w14:paraId="733A563C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Рекомендуется назначать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осторожностью в случае применения препарата у пациентов с умеренной и тяжелой степенью поражения печени. </w:t>
      </w:r>
    </w:p>
    <w:p w14:paraId="200B3E06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Следует с осторожностью применять </w:t>
      </w:r>
      <w:proofErr w:type="spellStart"/>
      <w:r w:rsidR="00295465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у пациентов с тяжелой степенью почечной недостаточности. </w:t>
      </w:r>
    </w:p>
    <w:p w14:paraId="6A573A54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Диарея </w:t>
      </w:r>
    </w:p>
    <w:p w14:paraId="2F6593AA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Применение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может приводить к развитию диареи, включая диарею тяжелой степени тяжести. Диарея может привести к угрожающим жизни состояниям и к смертельному исходу, если сочетается с дегидратацией, почечной недостаточностью,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нейтропенией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и/или электролитным дисбалансом. Диарея чаще возникает в начале лечения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; почти половина пациентов отмечали появление диареи в первые 6 дней от начала лечения. Обычно диарея продолжается в течение 4–5 дней.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>-индуцированная диарея чаще является легкой</w:t>
      </w:r>
      <w:r w:rsidR="006D69E6">
        <w:rPr>
          <w:rFonts w:ascii="Times New Roman" w:hAnsi="Times New Roman"/>
          <w:sz w:val="28"/>
          <w:szCs w:val="24"/>
          <w:lang w:val="ru"/>
        </w:rPr>
        <w:t xml:space="preserve">. </w:t>
      </w:r>
      <w:r w:rsidRPr="004E7623">
        <w:rPr>
          <w:rFonts w:ascii="Times New Roman" w:hAnsi="Times New Roman"/>
          <w:sz w:val="28"/>
          <w:szCs w:val="24"/>
          <w:lang w:val="ru"/>
        </w:rPr>
        <w:t>Необходимо раннее выявление расстройств желудочно-кишечного тракта и его симптомов (лихорадка, спазмы, тошнота, рвота, головокружение, жажда), чтобы определить изменения во время лечения и тех пациентов, которые больше всего подвержены риску диареи. В случае возникновения любых изменений со стороны ЖКТ пациенты должны немедленно сообщить об этом</w:t>
      </w:r>
      <w:r w:rsidRPr="00B7186A">
        <w:rPr>
          <w:rFonts w:ascii="Times New Roman" w:hAnsi="Times New Roman"/>
          <w:sz w:val="28"/>
          <w:szCs w:val="24"/>
          <w:lang w:val="ru"/>
        </w:rPr>
        <w:t>. В случае подозрения на тяжелую диарею необходимо измерить количество нейтрофилов и температуру тела пациента. Рекомендуется назначение антидиарейных препаратов при первом развитии симптомов. При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 диарее тяжелой степени может потребоваться </w:t>
      </w:r>
      <w:r w:rsidRPr="004E7623">
        <w:rPr>
          <w:rFonts w:ascii="Times New Roman" w:hAnsi="Times New Roman"/>
          <w:sz w:val="28"/>
          <w:szCs w:val="24"/>
          <w:lang w:val="ru"/>
        </w:rPr>
        <w:lastRenderedPageBreak/>
        <w:t xml:space="preserve">введение электролитов и жидкости (перорально или внутривенно), назначение антибиотиков, таких как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фторхинолоны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(особенно в случае диареи, продолжающейся более 24 часов с наличием лихорадки или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нейтропении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3–4 степени), приостановка приема или полная отмена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="003B148C">
        <w:rPr>
          <w:rFonts w:ascii="Times New Roman" w:hAnsi="Times New Roman"/>
          <w:sz w:val="28"/>
          <w:szCs w:val="24"/>
          <w:lang w:val="ru"/>
        </w:rPr>
        <w:t>.</w:t>
      </w:r>
      <w:r w:rsidRPr="004E7623">
        <w:rPr>
          <w:rFonts w:ascii="Times New Roman" w:hAnsi="Times New Roman"/>
          <w:sz w:val="28"/>
          <w:szCs w:val="24"/>
          <w:lang w:val="ru"/>
        </w:rPr>
        <w:t xml:space="preserve"> </w:t>
      </w:r>
    </w:p>
    <w:p w14:paraId="66DEB0DB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Серьезные кожные реакции </w:t>
      </w:r>
    </w:p>
    <w:p w14:paraId="0833A212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Имеются сообщения о серьезных кожных реакциях в ответ на прием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Если имеются основания подозревать наличие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мультиморфной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эритемы или опасных для жизни реакций, таких как синдром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Стивенса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-Джонсона или токсический эпидермальный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некролиз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(т. е. прогрессирующая кожная сыпь, зачастую с образованием пузырей и изъязвлением слизистых оболочек), прекратите лечение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3FDD3E38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E7623">
        <w:rPr>
          <w:rFonts w:ascii="Times New Roman" w:hAnsi="Times New Roman"/>
          <w:i/>
          <w:sz w:val="28"/>
          <w:szCs w:val="24"/>
          <w:lang w:val="ru"/>
        </w:rPr>
        <w:t xml:space="preserve">Совместное назначение с ингибиторами или индукторами CYP3A4 </w:t>
      </w:r>
    </w:p>
    <w:p w14:paraId="25A8AE3B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Следует избегать сопутствующего лечения с индукторами CYP3A4 из-за риска снижения экспозиции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5330D6A3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Следует избегать сопутствующего лечения с сильными ингибиторами CYP3A4 из-за риска увеличения экспозиции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13A716D1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Во время лечения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следует избегать употребления грейпфрутового сока. </w:t>
      </w:r>
    </w:p>
    <w:p w14:paraId="0C22FD1C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Совместное применение препарата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 с пероральными препаратами с узким терапевтическим действием, являющимися субстратами CYP3A4 и/или CYP2С8, не рекомендуется. </w:t>
      </w:r>
    </w:p>
    <w:p w14:paraId="3554E2F4" w14:textId="77777777" w:rsidR="004E7623" w:rsidRPr="004E7623" w:rsidRDefault="004E7623" w:rsidP="004E7623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E7623">
        <w:rPr>
          <w:rFonts w:ascii="Times New Roman" w:hAnsi="Times New Roman"/>
          <w:sz w:val="28"/>
          <w:szCs w:val="24"/>
          <w:lang w:val="ru"/>
        </w:rPr>
        <w:t xml:space="preserve">Совместное применение с препаратами, повышающими рН желудочного сока, не рекомендуется, так как это может повлиять на снижение растворимости и всасывания </w:t>
      </w:r>
      <w:proofErr w:type="spellStart"/>
      <w:r w:rsidRPr="004E7623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E7623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149384EF" w14:textId="77777777" w:rsidR="00463588" w:rsidRPr="00463588" w:rsidRDefault="00463588" w:rsidP="00463588">
      <w:pPr>
        <w:tabs>
          <w:tab w:val="left" w:pos="426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63588">
        <w:rPr>
          <w:rFonts w:ascii="Times New Roman" w:hAnsi="Times New Roman"/>
          <w:i/>
          <w:sz w:val="28"/>
          <w:szCs w:val="24"/>
          <w:lang w:val="ru"/>
        </w:rPr>
        <w:t xml:space="preserve">Женщины детородного возраста </w:t>
      </w:r>
    </w:p>
    <w:p w14:paraId="7A5F7394" w14:textId="77777777" w:rsidR="004B21AD" w:rsidRPr="004B21AD" w:rsidRDefault="004B21AD" w:rsidP="004B21A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B21AD">
        <w:rPr>
          <w:rFonts w:ascii="Times New Roman" w:hAnsi="Times New Roman"/>
          <w:sz w:val="28"/>
          <w:szCs w:val="24"/>
          <w:lang w:val="ru"/>
        </w:rPr>
        <w:t xml:space="preserve">Женщинам детородного возраста во время терапии </w:t>
      </w:r>
      <w:proofErr w:type="spellStart"/>
      <w:r w:rsidRPr="004B21AD">
        <w:rPr>
          <w:rFonts w:ascii="Times New Roman" w:hAnsi="Times New Roman"/>
          <w:sz w:val="28"/>
          <w:szCs w:val="24"/>
          <w:lang w:val="ru"/>
        </w:rPr>
        <w:t>лапатинибом</w:t>
      </w:r>
      <w:proofErr w:type="spellEnd"/>
      <w:r w:rsidRPr="004B21AD">
        <w:rPr>
          <w:rFonts w:ascii="Times New Roman" w:hAnsi="Times New Roman"/>
          <w:sz w:val="28"/>
          <w:szCs w:val="24"/>
          <w:lang w:val="ru"/>
        </w:rPr>
        <w:t xml:space="preserve"> и в течение как минимум 5 дней после приема последней дозы следует рекомендовать использовать надежные методы контрацепции и избегать наступления беременности. </w:t>
      </w:r>
    </w:p>
    <w:p w14:paraId="3AE1DBCB" w14:textId="77777777" w:rsidR="004B21AD" w:rsidRPr="004B21AD" w:rsidRDefault="003B148C" w:rsidP="004B21AD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  <w:lang w:val="ru"/>
        </w:rPr>
        <w:t>Во время беременности или лактации</w:t>
      </w:r>
      <w:r w:rsidR="004B21AD" w:rsidRPr="004B21AD">
        <w:rPr>
          <w:rFonts w:ascii="Times New Roman" w:hAnsi="Times New Roman"/>
          <w:i/>
          <w:sz w:val="28"/>
          <w:szCs w:val="24"/>
          <w:lang w:val="ru"/>
        </w:rPr>
        <w:t xml:space="preserve"> </w:t>
      </w:r>
    </w:p>
    <w:p w14:paraId="05B9CB4C" w14:textId="77777777" w:rsidR="004B21AD" w:rsidRPr="004B21AD" w:rsidRDefault="004B21AD" w:rsidP="004B21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B21AD">
        <w:rPr>
          <w:rFonts w:ascii="Times New Roman" w:hAnsi="Times New Roman"/>
          <w:sz w:val="28"/>
          <w:szCs w:val="24"/>
          <w:lang w:val="ru"/>
        </w:rPr>
        <w:t xml:space="preserve">Нет соответствующих данных об использовании </w:t>
      </w:r>
      <w:proofErr w:type="spellStart"/>
      <w:r w:rsidRPr="004B21AD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B21AD">
        <w:rPr>
          <w:rFonts w:ascii="Times New Roman" w:hAnsi="Times New Roman"/>
          <w:sz w:val="28"/>
          <w:szCs w:val="24"/>
          <w:lang w:val="ru"/>
        </w:rPr>
        <w:t xml:space="preserve"> у беременных женщин. Потенциальный риск для человека неизвестен. </w:t>
      </w:r>
    </w:p>
    <w:p w14:paraId="43B8E033" w14:textId="77777777" w:rsidR="004B21AD" w:rsidRPr="004B21AD" w:rsidRDefault="004B21AD" w:rsidP="004B21A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B21AD">
        <w:rPr>
          <w:rFonts w:ascii="Times New Roman" w:hAnsi="Times New Roman"/>
          <w:sz w:val="28"/>
          <w:szCs w:val="24"/>
          <w:lang w:val="ru"/>
        </w:rPr>
        <w:t xml:space="preserve">Не следует применять </w:t>
      </w:r>
      <w:proofErr w:type="spellStart"/>
      <w:r w:rsidRPr="004B21AD">
        <w:rPr>
          <w:rFonts w:ascii="Times New Roman" w:hAnsi="Times New Roman"/>
          <w:sz w:val="28"/>
          <w:szCs w:val="24"/>
          <w:lang w:val="ru"/>
        </w:rPr>
        <w:t>Ланиб</w:t>
      </w:r>
      <w:proofErr w:type="spellEnd"/>
      <w:r w:rsidRPr="004B21AD">
        <w:rPr>
          <w:rFonts w:ascii="Times New Roman" w:hAnsi="Times New Roman"/>
          <w:sz w:val="28"/>
          <w:szCs w:val="24"/>
          <w:lang w:val="ru"/>
        </w:rPr>
        <w:t xml:space="preserve"> во время беременности, если на это нет явной необходимости. </w:t>
      </w:r>
    </w:p>
    <w:p w14:paraId="267DEA35" w14:textId="77777777" w:rsidR="004B21AD" w:rsidRPr="004B21AD" w:rsidRDefault="004B21AD" w:rsidP="004B21A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"/>
        </w:rPr>
      </w:pPr>
      <w:r w:rsidRPr="004B21AD">
        <w:rPr>
          <w:rFonts w:ascii="Times New Roman" w:hAnsi="Times New Roman"/>
          <w:sz w:val="28"/>
          <w:szCs w:val="24"/>
          <w:lang w:val="ru"/>
        </w:rPr>
        <w:t xml:space="preserve">Безопасное использование </w:t>
      </w:r>
      <w:proofErr w:type="spellStart"/>
      <w:r w:rsidRPr="004B21AD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B21AD">
        <w:rPr>
          <w:rFonts w:ascii="Times New Roman" w:hAnsi="Times New Roman"/>
          <w:sz w:val="28"/>
          <w:szCs w:val="24"/>
          <w:lang w:val="ru"/>
        </w:rPr>
        <w:t xml:space="preserve"> в период лактации не установлено. Нет данных в отношении экскреции </w:t>
      </w:r>
      <w:proofErr w:type="spellStart"/>
      <w:r w:rsidRPr="004B21AD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4B21AD">
        <w:rPr>
          <w:rFonts w:ascii="Times New Roman" w:hAnsi="Times New Roman"/>
          <w:sz w:val="28"/>
          <w:szCs w:val="24"/>
          <w:lang w:val="ru"/>
        </w:rPr>
        <w:t xml:space="preserve"> в материнское молоко. Женщины должны прекратить грудное вскармливание на время терапии </w:t>
      </w:r>
      <w:proofErr w:type="spellStart"/>
      <w:r w:rsidRPr="004B21AD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4B21AD">
        <w:rPr>
          <w:rFonts w:ascii="Times New Roman" w:hAnsi="Times New Roman"/>
          <w:sz w:val="28"/>
          <w:szCs w:val="24"/>
          <w:lang w:val="ru"/>
        </w:rPr>
        <w:t xml:space="preserve"> и в течение как минимум 5 дней после приема последней дозы. </w:t>
      </w:r>
    </w:p>
    <w:p w14:paraId="478EB963" w14:textId="77777777" w:rsidR="004B21AD" w:rsidRPr="004B21AD" w:rsidRDefault="004B21AD" w:rsidP="004B21AD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B21AD">
        <w:rPr>
          <w:rFonts w:ascii="Times New Roman" w:hAnsi="Times New Roman"/>
          <w:i/>
          <w:sz w:val="28"/>
          <w:szCs w:val="24"/>
          <w:lang w:val="ru"/>
        </w:rPr>
        <w:t xml:space="preserve">Фертильность </w:t>
      </w:r>
    </w:p>
    <w:p w14:paraId="496AE567" w14:textId="77777777" w:rsidR="004B21AD" w:rsidRPr="004B21AD" w:rsidRDefault="004B21AD" w:rsidP="004B21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B21AD">
        <w:rPr>
          <w:rFonts w:ascii="Times New Roman" w:hAnsi="Times New Roman"/>
          <w:sz w:val="28"/>
          <w:szCs w:val="24"/>
          <w:lang w:val="ru"/>
        </w:rPr>
        <w:t xml:space="preserve">Нет соответствующих данных об использовании </w:t>
      </w:r>
      <w:proofErr w:type="spellStart"/>
      <w:r w:rsidRPr="004B21AD">
        <w:rPr>
          <w:rFonts w:ascii="Times New Roman" w:hAnsi="Times New Roman"/>
          <w:sz w:val="28"/>
          <w:szCs w:val="24"/>
          <w:lang w:val="ru"/>
        </w:rPr>
        <w:t>Ланиба</w:t>
      </w:r>
      <w:proofErr w:type="spellEnd"/>
      <w:r w:rsidRPr="004B21AD">
        <w:rPr>
          <w:rFonts w:ascii="Times New Roman" w:hAnsi="Times New Roman"/>
          <w:sz w:val="28"/>
          <w:szCs w:val="24"/>
          <w:lang w:val="ru"/>
        </w:rPr>
        <w:t xml:space="preserve"> у женщин детородного возраста. </w:t>
      </w:r>
    </w:p>
    <w:p w14:paraId="24EF837A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lastRenderedPageBreak/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139397BF" w14:textId="77777777" w:rsidR="00AA4875" w:rsidRPr="00AA4875" w:rsidRDefault="00AA4875" w:rsidP="00AA4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AA4875">
        <w:rPr>
          <w:rFonts w:ascii="Times New Roman" w:eastAsia="Times New Roman" w:hAnsi="Times New Roman"/>
          <w:sz w:val="28"/>
          <w:szCs w:val="24"/>
          <w:lang w:eastAsia="ru-RU"/>
        </w:rPr>
        <w:t>Ланиб</w:t>
      </w:r>
      <w:proofErr w:type="spellEnd"/>
      <w:r w:rsidRPr="00AA4875">
        <w:rPr>
          <w:rFonts w:ascii="Times New Roman" w:eastAsia="Times New Roman" w:hAnsi="Times New Roman"/>
          <w:sz w:val="28"/>
          <w:szCs w:val="24"/>
          <w:lang w:eastAsia="ru-RU"/>
        </w:rPr>
        <w:t xml:space="preserve"> не оказывает никакого влияния на способность управлять транспортным средством и потенциально опасными механизмами. Учитывая фармакологические свойства </w:t>
      </w:r>
      <w:proofErr w:type="spellStart"/>
      <w:r w:rsidRPr="00AA4875">
        <w:rPr>
          <w:rFonts w:ascii="Times New Roman" w:eastAsia="Times New Roman" w:hAnsi="Times New Roman"/>
          <w:sz w:val="28"/>
          <w:szCs w:val="24"/>
          <w:lang w:eastAsia="ru-RU"/>
        </w:rPr>
        <w:t>лапатиниба</w:t>
      </w:r>
      <w:proofErr w:type="spellEnd"/>
      <w:r w:rsidRPr="00AA4875">
        <w:rPr>
          <w:rFonts w:ascii="Times New Roman" w:eastAsia="Times New Roman" w:hAnsi="Times New Roman"/>
          <w:sz w:val="28"/>
          <w:szCs w:val="24"/>
          <w:lang w:eastAsia="ru-RU"/>
        </w:rPr>
        <w:t xml:space="preserve">, влияние на деятельность такого рода не ожидается. При рассмотрении способности пациента выполнять задачи, которые требуют задействования логического суждения, двигательных или когнитивных навыков, необходимо учитывать клиническое состояние пациента и профиль побочных явлений </w:t>
      </w:r>
      <w:proofErr w:type="spellStart"/>
      <w:r w:rsidRPr="00AA4875">
        <w:rPr>
          <w:rFonts w:ascii="Times New Roman" w:eastAsia="Times New Roman" w:hAnsi="Times New Roman"/>
          <w:sz w:val="28"/>
          <w:szCs w:val="24"/>
          <w:lang w:eastAsia="ru-RU"/>
        </w:rPr>
        <w:t>лапатиниба</w:t>
      </w:r>
      <w:proofErr w:type="spellEnd"/>
      <w:r w:rsidRPr="00AA487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031253F" w14:textId="77777777" w:rsidR="007D0E84" w:rsidRPr="00AA4875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6EB7D5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6A8F26F7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170A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0D6C19A" w14:textId="77777777" w:rsidR="00023635" w:rsidRPr="00023635" w:rsidRDefault="00023635" w:rsidP="000236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2" w:name="2175220275"/>
      <w:bookmarkEnd w:id="1"/>
      <w:r w:rsidRPr="00023635">
        <w:rPr>
          <w:rFonts w:ascii="Times New Roman" w:eastAsia="Times New Roman" w:hAnsi="Times New Roman"/>
          <w:sz w:val="28"/>
          <w:szCs w:val="24"/>
          <w:lang w:eastAsia="ru-RU"/>
        </w:rPr>
        <w:t xml:space="preserve">Лечение </w:t>
      </w:r>
      <w:proofErr w:type="spellStart"/>
      <w:r w:rsidRPr="00023635">
        <w:rPr>
          <w:rFonts w:ascii="Times New Roman" w:eastAsia="Times New Roman" w:hAnsi="Times New Roman"/>
          <w:sz w:val="28"/>
          <w:szCs w:val="24"/>
          <w:lang w:eastAsia="ru-RU"/>
        </w:rPr>
        <w:t>Ланибом</w:t>
      </w:r>
      <w:proofErr w:type="spellEnd"/>
      <w:r w:rsidRPr="00023635">
        <w:rPr>
          <w:rFonts w:ascii="Times New Roman" w:eastAsia="Times New Roman" w:hAnsi="Times New Roman"/>
          <w:sz w:val="28"/>
          <w:szCs w:val="24"/>
          <w:lang w:eastAsia="ru-RU"/>
        </w:rPr>
        <w:t xml:space="preserve"> должно назначаться только врачом, имеющим опыт применения противоопухолевых препаратов. </w:t>
      </w:r>
    </w:p>
    <w:p w14:paraId="19CDEBB1" w14:textId="77777777" w:rsidR="00023635" w:rsidRPr="00170A37" w:rsidRDefault="00023635" w:rsidP="000236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23635">
        <w:rPr>
          <w:rFonts w:ascii="Times New Roman" w:eastAsia="Times New Roman" w:hAnsi="Times New Roman"/>
          <w:sz w:val="28"/>
          <w:szCs w:val="24"/>
          <w:lang w:eastAsia="ru-RU"/>
        </w:rPr>
        <w:t xml:space="preserve">Опухоли с </w:t>
      </w:r>
      <w:proofErr w:type="spellStart"/>
      <w:r w:rsidRPr="00023635">
        <w:rPr>
          <w:rFonts w:ascii="Times New Roman" w:eastAsia="Times New Roman" w:hAnsi="Times New Roman"/>
          <w:sz w:val="28"/>
          <w:szCs w:val="24"/>
          <w:lang w:eastAsia="ru-RU"/>
        </w:rPr>
        <w:t>гиперэкспрессией</w:t>
      </w:r>
      <w:proofErr w:type="spellEnd"/>
      <w:r w:rsidRPr="00023635">
        <w:rPr>
          <w:rFonts w:ascii="Times New Roman" w:eastAsia="Times New Roman" w:hAnsi="Times New Roman"/>
          <w:sz w:val="28"/>
          <w:szCs w:val="24"/>
          <w:lang w:eastAsia="ru-RU"/>
        </w:rPr>
        <w:t xml:space="preserve"> HER2 (ErbB2) определяются с помощью IHC3 + или IHC2 + с амплификацией гена или только с помощью амплификации гена. Необходимо определить статус HER2, используя точные и обоснованные методы диагностики. </w:t>
      </w:r>
    </w:p>
    <w:p w14:paraId="0BD7A85D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</w:rPr>
      </w:pPr>
      <w:proofErr w:type="spellStart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>Ланиб</w:t>
      </w:r>
      <w:proofErr w:type="spellEnd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 в комбинации с </w:t>
      </w:r>
      <w:proofErr w:type="spellStart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>капецитабином</w:t>
      </w:r>
      <w:proofErr w:type="spellEnd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 </w:t>
      </w:r>
    </w:p>
    <w:p w14:paraId="6B62C110" w14:textId="77777777" w:rsidR="00023635" w:rsidRPr="00023635" w:rsidRDefault="00023635" w:rsidP="0002363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Рекомендуемая доза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Ланиба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составляет 1250 мг (пять таблеток) однократно в сутки, постоянно. </w:t>
      </w:r>
    </w:p>
    <w:p w14:paraId="46957561" w14:textId="77777777" w:rsidR="00023635" w:rsidRPr="00023635" w:rsidRDefault="00023635" w:rsidP="00023635">
      <w:pPr>
        <w:spacing w:after="0" w:line="240" w:lineRule="auto"/>
        <w:ind w:left="-5" w:right="2"/>
        <w:jc w:val="both"/>
        <w:rPr>
          <w:rFonts w:ascii="Times New Roman" w:hAnsi="Times New Roman"/>
          <w:sz w:val="28"/>
          <w:szCs w:val="24"/>
          <w:lang w:val="ru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Рекомендуемая доза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капецитабина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> — 2000 мг/м</w:t>
      </w:r>
      <w:r w:rsidRPr="00023635">
        <w:rPr>
          <w:rFonts w:ascii="Times New Roman" w:hAnsi="Times New Roman"/>
          <w:sz w:val="28"/>
          <w:szCs w:val="24"/>
          <w:vertAlign w:val="superscript"/>
          <w:lang w:val="ru"/>
        </w:rPr>
        <w:t>2</w:t>
      </w:r>
      <w:r w:rsidRPr="00023635">
        <w:rPr>
          <w:rFonts w:ascii="Times New Roman" w:hAnsi="Times New Roman"/>
          <w:sz w:val="28"/>
          <w:szCs w:val="24"/>
          <w:lang w:val="ru"/>
        </w:rPr>
        <w:t xml:space="preserve">/сутки, которую принимают в 2 приема с интервалом 12 часов с 1 по 14 дни цикла, который составляет 21 день. Рекомендуется принимать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капецитабин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с едой или в течение 30 мин после еды. Смотрите инструкцию по применению препарата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капецитабин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6EC4D9BC" w14:textId="77777777" w:rsidR="00023635" w:rsidRPr="00023635" w:rsidRDefault="00023635" w:rsidP="00023635">
      <w:pPr>
        <w:spacing w:after="0" w:line="240" w:lineRule="auto"/>
        <w:ind w:left="-5" w:right="2"/>
        <w:jc w:val="both"/>
        <w:rPr>
          <w:rFonts w:ascii="Times New Roman" w:hAnsi="Times New Roman"/>
          <w:sz w:val="28"/>
          <w:szCs w:val="24"/>
        </w:rPr>
      </w:pPr>
      <w:proofErr w:type="spellStart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>Ланиб</w:t>
      </w:r>
      <w:proofErr w:type="spellEnd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 в комбинации с </w:t>
      </w:r>
      <w:proofErr w:type="spellStart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>трастузумабом</w:t>
      </w:r>
      <w:proofErr w:type="spellEnd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 </w:t>
      </w:r>
    </w:p>
    <w:p w14:paraId="10E1F6CA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Рекомендуемая доза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Ланиба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составляет 1000 мг (четыре таблетки) однократно в сутки, постоянно. </w:t>
      </w:r>
    </w:p>
    <w:p w14:paraId="47C54FAA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  <w:lang w:val="ru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Рекомендуемая доза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трастузумаба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составляет 4 мг/кг, вводимая в виде нагрузочной внутривенной инъекции, и затем 2 мг/кг внутривенно – еженедельно. Смотрите инструкцию по применению препарата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трастузумаб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778E1402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</w:rPr>
      </w:pPr>
      <w:proofErr w:type="spellStart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>Ланиб</w:t>
      </w:r>
      <w:proofErr w:type="spellEnd"/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 в комбинации с ингибитором ароматазы </w:t>
      </w:r>
    </w:p>
    <w:p w14:paraId="20A2761B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Рекомендуемая доза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Ланиба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составляет 1500 мг (шесть таблеток) однократно в сутки, постоянно. </w:t>
      </w:r>
    </w:p>
    <w:p w14:paraId="1399BA82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  <w:lang w:val="ru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Смотрите инструкцию в отношении данных по дозированию при комбинации с ингибитором ароматазы. </w:t>
      </w:r>
    </w:p>
    <w:p w14:paraId="0B94D8C2" w14:textId="77777777" w:rsidR="00023635" w:rsidRPr="00023635" w:rsidRDefault="00023635" w:rsidP="0002363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23635">
        <w:rPr>
          <w:rFonts w:ascii="Times New Roman" w:eastAsia="Times New Roman" w:hAnsi="Times New Roman"/>
          <w:b/>
          <w:sz w:val="28"/>
          <w:szCs w:val="24"/>
          <w:lang w:eastAsia="ru-RU"/>
        </w:rPr>
        <w:t>Особые группы пациентов</w:t>
      </w:r>
    </w:p>
    <w:p w14:paraId="684C418C" w14:textId="77777777" w:rsidR="00023635" w:rsidRPr="00023635" w:rsidRDefault="00023635" w:rsidP="0002363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Пациенты с нарушением функции почек </w:t>
      </w:r>
    </w:p>
    <w:p w14:paraId="507B851B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Для пациентов с незначительным и умеренным нарушением функции почек корректировка дозы не требуется. Рекомендуется уделять особое </w:t>
      </w:r>
      <w:r w:rsidRPr="00023635">
        <w:rPr>
          <w:rFonts w:ascii="Times New Roman" w:hAnsi="Times New Roman"/>
          <w:sz w:val="28"/>
          <w:szCs w:val="24"/>
          <w:lang w:val="ru"/>
        </w:rPr>
        <w:lastRenderedPageBreak/>
        <w:t xml:space="preserve">внимание пациентам с тяжелым нарушением функции почек, так как опыт использования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Ланиба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в данной группе пациентов отсутствует</w:t>
      </w:r>
      <w:r w:rsidR="000212BE">
        <w:rPr>
          <w:rFonts w:ascii="Times New Roman" w:hAnsi="Times New Roman"/>
          <w:sz w:val="28"/>
          <w:szCs w:val="24"/>
          <w:lang w:val="ru"/>
        </w:rPr>
        <w:t>.</w:t>
      </w:r>
    </w:p>
    <w:p w14:paraId="2DAE3035" w14:textId="77777777" w:rsidR="00023635" w:rsidRPr="00023635" w:rsidRDefault="00023635" w:rsidP="00023635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Нарушение функции печени </w:t>
      </w:r>
    </w:p>
    <w:p w14:paraId="0E7C1B1A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Пациентам с тяжелым нарушением функции печени необходимо отменить терапию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Ланибом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без последующего возобновления приема. </w:t>
      </w:r>
    </w:p>
    <w:p w14:paraId="4A28709D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  <w:lang w:val="ru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Пациентам со средней и тяжелой степенью нарушения функции печени следует соблюдать осторожность при приеме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Ланиба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в связи с увеличением экспозиции лекарственного средства. В связи с недостаточностью данных нет возможности предоставить рекомендации по корректировке дозы у пациентов с нарушением функции печени</w:t>
      </w:r>
      <w:r w:rsidR="000212BE">
        <w:rPr>
          <w:rFonts w:ascii="Times New Roman" w:hAnsi="Times New Roman"/>
          <w:sz w:val="28"/>
          <w:szCs w:val="24"/>
          <w:lang w:val="ru"/>
        </w:rPr>
        <w:t>.</w:t>
      </w:r>
    </w:p>
    <w:p w14:paraId="0C750B68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Пожилые пациенты </w:t>
      </w:r>
    </w:p>
    <w:p w14:paraId="01435C7E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  <w:lang w:val="ru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Данные по применению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Ланиба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в сочетании с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капецитабином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и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Ланиба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в сочетании с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трастузумабом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у пациентов ≥ 65 лет ограничены. </w:t>
      </w:r>
    </w:p>
    <w:p w14:paraId="103FFABC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  <w:lang w:val="ru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Не отмечено различий в эффективности и безопасности применения </w:t>
      </w:r>
      <w:proofErr w:type="spellStart"/>
      <w:r w:rsidR="00746B72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в сочетании с </w:t>
      </w:r>
      <w:proofErr w:type="spellStart"/>
      <w:r w:rsidRPr="00023635">
        <w:rPr>
          <w:rFonts w:ascii="Times New Roman" w:hAnsi="Times New Roman"/>
          <w:sz w:val="28"/>
          <w:szCs w:val="24"/>
          <w:lang w:val="ru"/>
        </w:rPr>
        <w:t>летрозолом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у </w:t>
      </w:r>
      <w:r w:rsidR="00746B72" w:rsidRPr="00746B72">
        <w:rPr>
          <w:rFonts w:ascii="Times New Roman" w:hAnsi="Times New Roman"/>
          <w:sz w:val="28"/>
          <w:szCs w:val="24"/>
          <w:lang w:val="ru"/>
        </w:rPr>
        <w:t>пациентов с гормонально позитивным метастатическим раком молочной желез</w:t>
      </w:r>
      <w:r w:rsidR="00746B72">
        <w:rPr>
          <w:rFonts w:ascii="Times New Roman" w:hAnsi="Times New Roman"/>
          <w:sz w:val="28"/>
          <w:szCs w:val="24"/>
          <w:lang w:val="ru"/>
        </w:rPr>
        <w:t xml:space="preserve">ы </w:t>
      </w:r>
      <w:r w:rsidR="00746B72" w:rsidRPr="00746B72">
        <w:rPr>
          <w:rFonts w:ascii="Times New Roman" w:hAnsi="Times New Roman"/>
          <w:sz w:val="28"/>
          <w:szCs w:val="24"/>
          <w:lang w:val="ru"/>
        </w:rPr>
        <w:t>в возрасте ≥ 65 лет</w:t>
      </w:r>
      <w:r w:rsidRPr="00023635">
        <w:rPr>
          <w:rFonts w:ascii="Times New Roman" w:hAnsi="Times New Roman"/>
          <w:sz w:val="28"/>
          <w:szCs w:val="24"/>
          <w:lang w:val="ru"/>
        </w:rPr>
        <w:t xml:space="preserve"> и пациентов </w:t>
      </w:r>
      <w:proofErr w:type="gramStart"/>
      <w:r w:rsidRPr="00023635">
        <w:rPr>
          <w:rFonts w:ascii="Times New Roman" w:hAnsi="Times New Roman"/>
          <w:sz w:val="28"/>
          <w:szCs w:val="24"/>
          <w:lang w:val="ru"/>
        </w:rPr>
        <w:t>&lt; 65</w:t>
      </w:r>
      <w:proofErr w:type="gramEnd"/>
      <w:r w:rsidRPr="00023635">
        <w:rPr>
          <w:rFonts w:ascii="Times New Roman" w:hAnsi="Times New Roman"/>
          <w:sz w:val="28"/>
          <w:szCs w:val="24"/>
          <w:lang w:val="ru"/>
        </w:rPr>
        <w:t xml:space="preserve"> лет. </w:t>
      </w:r>
    </w:p>
    <w:p w14:paraId="0182B12E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i/>
          <w:iCs/>
          <w:sz w:val="28"/>
          <w:szCs w:val="24"/>
          <w:lang w:val="ru"/>
        </w:rPr>
        <w:t xml:space="preserve">Педиатрическая популяция </w:t>
      </w:r>
    </w:p>
    <w:p w14:paraId="0DD3D724" w14:textId="77777777" w:rsidR="00023635" w:rsidRPr="00023635" w:rsidRDefault="00023635" w:rsidP="00023635">
      <w:pPr>
        <w:spacing w:after="0" w:line="240" w:lineRule="auto"/>
        <w:ind w:left="-5" w:right="7"/>
        <w:jc w:val="both"/>
        <w:rPr>
          <w:sz w:val="28"/>
          <w:szCs w:val="24"/>
          <w:lang w:val="ru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Безопасность и эффективность применения </w:t>
      </w:r>
      <w:proofErr w:type="spellStart"/>
      <w:r w:rsidR="000212BE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023635">
        <w:rPr>
          <w:rFonts w:ascii="Times New Roman" w:hAnsi="Times New Roman"/>
          <w:sz w:val="28"/>
          <w:szCs w:val="24"/>
          <w:lang w:val="ru"/>
        </w:rPr>
        <w:t xml:space="preserve"> у детей в возрасте до 18 лет не была установлена</w:t>
      </w:r>
      <w:r w:rsidRPr="00023635">
        <w:rPr>
          <w:sz w:val="28"/>
          <w:szCs w:val="24"/>
          <w:lang w:val="ru"/>
        </w:rPr>
        <w:t xml:space="preserve">. </w:t>
      </w:r>
      <w:r w:rsidRPr="00023635">
        <w:rPr>
          <w:rFonts w:ascii="Times New Roman" w:hAnsi="Times New Roman"/>
          <w:sz w:val="28"/>
          <w:szCs w:val="24"/>
          <w:lang w:val="ru"/>
        </w:rPr>
        <w:t>Нет данных.</w:t>
      </w:r>
      <w:r w:rsidRPr="00023635">
        <w:rPr>
          <w:sz w:val="28"/>
          <w:szCs w:val="24"/>
          <w:lang w:val="ru"/>
        </w:rPr>
        <w:t xml:space="preserve"> </w:t>
      </w:r>
    </w:p>
    <w:p w14:paraId="12F13C5D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4BA56C90" w14:textId="77777777" w:rsidR="00023635" w:rsidRPr="00023635" w:rsidRDefault="00023635" w:rsidP="0002363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bookmarkStart w:id="3" w:name="2175220276"/>
      <w:bookmarkEnd w:id="2"/>
      <w:r w:rsidRPr="00023635">
        <w:rPr>
          <w:rFonts w:ascii="Times New Roman" w:hAnsi="Times New Roman"/>
          <w:sz w:val="28"/>
          <w:szCs w:val="24"/>
        </w:rPr>
        <w:t>Перорально.</w:t>
      </w:r>
    </w:p>
    <w:p w14:paraId="2442B3AB" w14:textId="77777777" w:rsidR="0083023F" w:rsidRPr="0083023F" w:rsidRDefault="0083023F" w:rsidP="00023635">
      <w:pPr>
        <w:spacing w:after="0" w:line="240" w:lineRule="auto"/>
        <w:ind w:left="-6" w:right="6"/>
        <w:jc w:val="both"/>
        <w:rPr>
          <w:rFonts w:ascii="Times New Roman" w:hAnsi="Times New Roman"/>
          <w:b/>
          <w:bCs/>
          <w:i/>
          <w:iCs/>
          <w:sz w:val="28"/>
          <w:szCs w:val="24"/>
          <w:lang w:val="ru"/>
        </w:rPr>
      </w:pPr>
      <w:r w:rsidRPr="0083023F">
        <w:rPr>
          <w:rFonts w:ascii="Times New Roman" w:hAnsi="Times New Roman"/>
          <w:b/>
          <w:bCs/>
          <w:i/>
          <w:iCs/>
          <w:sz w:val="28"/>
          <w:szCs w:val="24"/>
          <w:lang w:val="ru"/>
        </w:rPr>
        <w:t>Частота применения с указанием времени приема</w:t>
      </w:r>
    </w:p>
    <w:p w14:paraId="2DF37B6B" w14:textId="77777777" w:rsidR="00023635" w:rsidRPr="00023635" w:rsidRDefault="00023635" w:rsidP="00023635">
      <w:pPr>
        <w:spacing w:after="0" w:line="240" w:lineRule="auto"/>
        <w:ind w:left="-6" w:right="6"/>
        <w:jc w:val="both"/>
        <w:rPr>
          <w:rFonts w:ascii="Times New Roman" w:hAnsi="Times New Roman"/>
          <w:sz w:val="28"/>
          <w:szCs w:val="24"/>
        </w:rPr>
      </w:pPr>
      <w:r w:rsidRPr="00023635">
        <w:rPr>
          <w:rFonts w:ascii="Times New Roman" w:hAnsi="Times New Roman"/>
          <w:sz w:val="28"/>
          <w:szCs w:val="24"/>
          <w:lang w:val="ru"/>
        </w:rPr>
        <w:t xml:space="preserve">Не следует разделять суточную дозу препарата. Препарат необходимо принимать как минимум за час до или через час после еды. Чтобы свести к минимуму прием препарата в разное время, его следует принимать по стандартному графику в отношении приема пищи, например, всегда принимать за час до еды. </w:t>
      </w:r>
    </w:p>
    <w:p w14:paraId="70D2789B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4" w:name="2175220278"/>
      <w:bookmarkEnd w:id="3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bookmarkEnd w:id="4"/>
    <w:p w14:paraId="5569D01D" w14:textId="77777777" w:rsidR="000212BE" w:rsidRPr="000212BE" w:rsidRDefault="000212BE" w:rsidP="000212BE">
      <w:pPr>
        <w:spacing w:after="0" w:line="240" w:lineRule="auto"/>
        <w:jc w:val="both"/>
        <w:rPr>
          <w:rFonts w:ascii="Times New Roman" w:hAnsi="Times New Roman"/>
          <w:sz w:val="28"/>
          <w:lang w:val="ru"/>
        </w:rPr>
      </w:pPr>
      <w:r w:rsidRPr="000212BE">
        <w:rPr>
          <w:rFonts w:ascii="Times New Roman" w:hAnsi="Times New Roman"/>
          <w:sz w:val="28"/>
          <w:lang w:val="ru"/>
        </w:rPr>
        <w:t xml:space="preserve">Не существует специфического антидота для ингибирования фосфорилирования тирозина EGFR (ErbB1) и/или HER2 (ErbB2). Максимальная пероральная суточная доза </w:t>
      </w:r>
      <w:proofErr w:type="spellStart"/>
      <w:r w:rsidRPr="000212BE">
        <w:rPr>
          <w:rFonts w:ascii="Times New Roman" w:hAnsi="Times New Roman"/>
          <w:sz w:val="28"/>
          <w:lang w:val="ru"/>
        </w:rPr>
        <w:t>лапатиниба</w:t>
      </w:r>
      <w:proofErr w:type="spellEnd"/>
      <w:r w:rsidRPr="000212BE">
        <w:rPr>
          <w:rFonts w:ascii="Times New Roman" w:hAnsi="Times New Roman"/>
          <w:sz w:val="28"/>
          <w:lang w:val="ru"/>
        </w:rPr>
        <w:t xml:space="preserve"> </w:t>
      </w:r>
      <w:r w:rsidR="004B12FD">
        <w:rPr>
          <w:rFonts w:ascii="Times New Roman" w:hAnsi="Times New Roman"/>
          <w:sz w:val="28"/>
          <w:lang w:val="ru"/>
        </w:rPr>
        <w:t>составляла</w:t>
      </w:r>
      <w:r w:rsidR="00DA3167">
        <w:rPr>
          <w:rFonts w:ascii="Times New Roman" w:hAnsi="Times New Roman"/>
          <w:sz w:val="28"/>
          <w:lang w:val="ru"/>
        </w:rPr>
        <w:t xml:space="preserve"> </w:t>
      </w:r>
      <w:r w:rsidRPr="000212BE">
        <w:rPr>
          <w:rFonts w:ascii="Times New Roman" w:hAnsi="Times New Roman"/>
          <w:sz w:val="28"/>
          <w:lang w:val="ru"/>
        </w:rPr>
        <w:t xml:space="preserve">1800 мг. </w:t>
      </w:r>
    </w:p>
    <w:p w14:paraId="5761C179" w14:textId="77777777" w:rsidR="000212BE" w:rsidRPr="000212BE" w:rsidRDefault="000212BE" w:rsidP="000212BE">
      <w:pPr>
        <w:spacing w:after="0" w:line="240" w:lineRule="auto"/>
        <w:jc w:val="both"/>
        <w:rPr>
          <w:rFonts w:ascii="Times New Roman" w:hAnsi="Times New Roman"/>
          <w:sz w:val="28"/>
          <w:lang w:val="ru"/>
        </w:rPr>
      </w:pPr>
      <w:r w:rsidRPr="000212BE">
        <w:rPr>
          <w:rFonts w:ascii="Times New Roman" w:hAnsi="Times New Roman"/>
          <w:sz w:val="28"/>
          <w:lang w:val="ru"/>
        </w:rPr>
        <w:t xml:space="preserve">Сообщалось о бессимптомных и симптоматичных случаях передозировки у пациентов, принимавших </w:t>
      </w:r>
      <w:proofErr w:type="spellStart"/>
      <w:r w:rsidRPr="000212BE">
        <w:rPr>
          <w:rFonts w:ascii="Times New Roman" w:hAnsi="Times New Roman"/>
          <w:sz w:val="28"/>
          <w:lang w:val="ru"/>
        </w:rPr>
        <w:t>лапатиниб</w:t>
      </w:r>
      <w:proofErr w:type="spellEnd"/>
      <w:r w:rsidRPr="000212BE">
        <w:rPr>
          <w:rFonts w:ascii="Times New Roman" w:hAnsi="Times New Roman"/>
          <w:sz w:val="28"/>
          <w:lang w:val="ru"/>
        </w:rPr>
        <w:t>. У пациентов</w:t>
      </w:r>
      <w:r w:rsidR="003B64D3">
        <w:rPr>
          <w:rFonts w:ascii="Times New Roman" w:hAnsi="Times New Roman"/>
          <w:sz w:val="28"/>
          <w:lang w:val="ru"/>
        </w:rPr>
        <w:t>, которые приняли</w:t>
      </w:r>
      <w:r w:rsidR="005F4F7B">
        <w:rPr>
          <w:rFonts w:ascii="Times New Roman" w:hAnsi="Times New Roman"/>
          <w:sz w:val="28"/>
          <w:lang w:val="ru"/>
        </w:rPr>
        <w:t xml:space="preserve"> </w:t>
      </w:r>
      <w:proofErr w:type="spellStart"/>
      <w:r w:rsidR="005F4F7B">
        <w:rPr>
          <w:rFonts w:ascii="Times New Roman" w:hAnsi="Times New Roman"/>
          <w:sz w:val="28"/>
          <w:lang w:val="ru"/>
        </w:rPr>
        <w:t>лапатиниб</w:t>
      </w:r>
      <w:proofErr w:type="spellEnd"/>
      <w:r w:rsidR="003B64D3">
        <w:rPr>
          <w:rFonts w:ascii="Times New Roman" w:hAnsi="Times New Roman"/>
          <w:sz w:val="28"/>
          <w:lang w:val="ru"/>
        </w:rPr>
        <w:t xml:space="preserve"> в дозе</w:t>
      </w:r>
      <w:r w:rsidRPr="000212BE">
        <w:rPr>
          <w:rFonts w:ascii="Times New Roman" w:hAnsi="Times New Roman"/>
          <w:sz w:val="28"/>
          <w:lang w:val="ru"/>
        </w:rPr>
        <w:t xml:space="preserve"> до</w:t>
      </w:r>
      <w:r w:rsidR="004B12FD">
        <w:rPr>
          <w:rFonts w:ascii="Times New Roman" w:hAnsi="Times New Roman"/>
          <w:sz w:val="28"/>
          <w:lang w:val="ru"/>
        </w:rPr>
        <w:t xml:space="preserve"> </w:t>
      </w:r>
      <w:r w:rsidRPr="000212BE">
        <w:rPr>
          <w:rFonts w:ascii="Times New Roman" w:hAnsi="Times New Roman"/>
          <w:sz w:val="28"/>
          <w:lang w:val="ru"/>
        </w:rPr>
        <w:t xml:space="preserve">5000 мг наблюдались симптомы, связанные с </w:t>
      </w:r>
      <w:proofErr w:type="spellStart"/>
      <w:r w:rsidRPr="000212BE">
        <w:rPr>
          <w:rFonts w:ascii="Times New Roman" w:hAnsi="Times New Roman"/>
          <w:sz w:val="28"/>
          <w:lang w:val="ru"/>
        </w:rPr>
        <w:t>лапатиниб</w:t>
      </w:r>
      <w:r w:rsidR="003B64D3">
        <w:rPr>
          <w:rFonts w:ascii="Times New Roman" w:hAnsi="Times New Roman"/>
          <w:sz w:val="28"/>
          <w:lang w:val="ru"/>
        </w:rPr>
        <w:t>ом</w:t>
      </w:r>
      <w:proofErr w:type="spellEnd"/>
      <w:r w:rsidRPr="000212BE">
        <w:rPr>
          <w:rFonts w:ascii="Times New Roman" w:hAnsi="Times New Roman"/>
          <w:sz w:val="28"/>
          <w:lang w:val="ru"/>
        </w:rPr>
        <w:t xml:space="preserve">, в некоторых случаях – раздражение кожи и/или воспаление слизистых. </w:t>
      </w:r>
      <w:r w:rsidR="003B64D3">
        <w:rPr>
          <w:rFonts w:ascii="Times New Roman" w:hAnsi="Times New Roman"/>
          <w:sz w:val="28"/>
          <w:lang w:val="ru"/>
        </w:rPr>
        <w:t>Известно, что</w:t>
      </w:r>
      <w:r w:rsidRPr="000212BE">
        <w:rPr>
          <w:rFonts w:ascii="Times New Roman" w:hAnsi="Times New Roman"/>
          <w:sz w:val="28"/>
          <w:lang w:val="ru"/>
        </w:rPr>
        <w:t xml:space="preserve"> при приеме 9000 мг </w:t>
      </w:r>
      <w:proofErr w:type="spellStart"/>
      <w:r w:rsidRPr="000212BE">
        <w:rPr>
          <w:rFonts w:ascii="Times New Roman" w:hAnsi="Times New Roman"/>
          <w:sz w:val="28"/>
          <w:lang w:val="ru"/>
        </w:rPr>
        <w:t>лапатиниба</w:t>
      </w:r>
      <w:proofErr w:type="spellEnd"/>
      <w:r w:rsidRPr="000212BE">
        <w:rPr>
          <w:rFonts w:ascii="Times New Roman" w:hAnsi="Times New Roman"/>
          <w:sz w:val="28"/>
          <w:lang w:val="ru"/>
        </w:rPr>
        <w:t xml:space="preserve"> было выявлено развитие синусовой тахикардии (с изменением ЭКГ). </w:t>
      </w:r>
    </w:p>
    <w:p w14:paraId="5C483019" w14:textId="77777777" w:rsidR="000212BE" w:rsidRPr="000212BE" w:rsidRDefault="000212BE" w:rsidP="000212BE">
      <w:pPr>
        <w:spacing w:after="0" w:line="240" w:lineRule="auto"/>
        <w:jc w:val="both"/>
        <w:rPr>
          <w:rFonts w:ascii="Times New Roman" w:hAnsi="Times New Roman"/>
          <w:sz w:val="28"/>
          <w:lang w:val="ru"/>
        </w:rPr>
      </w:pPr>
      <w:proofErr w:type="spellStart"/>
      <w:r w:rsidRPr="000212BE">
        <w:rPr>
          <w:rFonts w:ascii="Times New Roman" w:hAnsi="Times New Roman"/>
          <w:sz w:val="28"/>
          <w:lang w:val="ru"/>
        </w:rPr>
        <w:t>Лапатиниб</w:t>
      </w:r>
      <w:proofErr w:type="spellEnd"/>
      <w:r w:rsidRPr="000212BE">
        <w:rPr>
          <w:rFonts w:ascii="Times New Roman" w:hAnsi="Times New Roman"/>
          <w:sz w:val="28"/>
          <w:lang w:val="ru"/>
        </w:rPr>
        <w:t xml:space="preserve">, в основном, не выводится через почки и сильно связан с белками плазмы, поэтому считается, что гемодиализ не является эффективным методом для улучшения выведения </w:t>
      </w:r>
      <w:proofErr w:type="spellStart"/>
      <w:r w:rsidRPr="000212BE">
        <w:rPr>
          <w:rFonts w:ascii="Times New Roman" w:hAnsi="Times New Roman"/>
          <w:sz w:val="28"/>
          <w:lang w:val="ru"/>
        </w:rPr>
        <w:t>лапатиниба</w:t>
      </w:r>
      <w:proofErr w:type="spellEnd"/>
      <w:r w:rsidRPr="000212BE">
        <w:rPr>
          <w:rFonts w:ascii="Times New Roman" w:hAnsi="Times New Roman"/>
          <w:sz w:val="28"/>
          <w:lang w:val="ru"/>
        </w:rPr>
        <w:t xml:space="preserve">. </w:t>
      </w:r>
    </w:p>
    <w:p w14:paraId="586A138F" w14:textId="77777777" w:rsidR="00A12563" w:rsidRDefault="000212BE" w:rsidP="000212BE">
      <w:pPr>
        <w:spacing w:after="0" w:line="240" w:lineRule="auto"/>
        <w:jc w:val="both"/>
        <w:rPr>
          <w:rFonts w:ascii="Times New Roman" w:hAnsi="Times New Roman"/>
          <w:sz w:val="28"/>
          <w:lang w:val="ru"/>
        </w:rPr>
      </w:pPr>
      <w:r w:rsidRPr="000212BE">
        <w:rPr>
          <w:rFonts w:ascii="Times New Roman" w:hAnsi="Times New Roman"/>
          <w:sz w:val="28"/>
          <w:lang w:val="ru"/>
        </w:rPr>
        <w:lastRenderedPageBreak/>
        <w:t>Дальнейшие меры принимаются в соответствии с клиническими показаниями или рекомендациями национальных токсикологических центров, если имеются.</w:t>
      </w:r>
    </w:p>
    <w:p w14:paraId="787D450A" w14:textId="77777777" w:rsidR="008A04D2" w:rsidRDefault="005E4276" w:rsidP="000212BE">
      <w:pPr>
        <w:spacing w:after="0" w:line="240" w:lineRule="auto"/>
        <w:jc w:val="both"/>
        <w:rPr>
          <w:rFonts w:ascii="Times New Roman" w:hAnsi="Times New Roman"/>
          <w:sz w:val="28"/>
          <w:lang w:val="ru"/>
        </w:rPr>
      </w:pPr>
      <w:r>
        <w:rPr>
          <w:noProof/>
          <w:lang w:eastAsia="ru-RU"/>
        </w:rPr>
        <w:drawing>
          <wp:inline distT="0" distB="0" distL="0" distR="0" wp14:anchorId="376A2D59" wp14:editId="7F5A8618">
            <wp:extent cx="5753100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86A4" w14:textId="77777777" w:rsidR="00A86D5F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Указание на наличие риска симптомов отмены </w:t>
      </w:r>
    </w:p>
    <w:p w14:paraId="26104514" w14:textId="77777777" w:rsidR="00A86D5F" w:rsidRPr="00A86D5F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86D5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Нарушения со стороны сердечно-сосудистой системы </w:t>
      </w:r>
    </w:p>
    <w:p w14:paraId="5936E1B6" w14:textId="77777777" w:rsidR="00A86D5F" w:rsidRPr="00A86D5F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Лечение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Ланибом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должно быть прекращено в случае появления симптомов снижения фракции выброса левого желудочка до 3 степени или выше, или в случае ее снижения ниже границы допустимой нормы. Лечение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Ланибом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быть возобновлено не ранее, чем через 2 недели, и в меньшей дозе (750 мг/сутки при назначении с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трастузумабом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B518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1000 мг/сутки при сочетании с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капецитабином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1250 мг/сутки при сочетании с ингибитором ароматазы), и только в случае, если уровень фракции выброса левого желудочка находится в допустимых границах нормы и при отсутствии характерных симптомов. </w:t>
      </w:r>
    </w:p>
    <w:p w14:paraId="297DEDF7" w14:textId="77777777" w:rsidR="00A86D5F" w:rsidRPr="00A86D5F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86D5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Интерстициальный легочный процесс/</w:t>
      </w:r>
      <w:proofErr w:type="spellStart"/>
      <w:r w:rsidRPr="00A86D5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пневмонит</w:t>
      </w:r>
      <w:proofErr w:type="spellEnd"/>
      <w:r w:rsidRPr="00A86D5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</w:p>
    <w:p w14:paraId="5F1EF751" w14:textId="77777777" w:rsidR="00A86D5F" w:rsidRPr="00A86D5F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Лечение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Ланибом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должно быть прекращено в случае появления легочных симптомов 3 степени или выше</w:t>
      </w:r>
      <w:r w:rsidR="00621FC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202CF6B" w14:textId="77777777" w:rsidR="00A86D5F" w:rsidRPr="00A86D5F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86D5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Диарея </w:t>
      </w:r>
    </w:p>
    <w:p w14:paraId="00DC126B" w14:textId="77777777" w:rsidR="00A86D5F" w:rsidRPr="00A86D5F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Прием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Ланиба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должен быть приостановлен у пациентов с диареей 3 степени или 1-2 степеней при наличии сопутствующих симптомов (спазмы в области живота средней или тяжелой степеней тяжести, тошнота или рвота 2 степени или выше, лихорадка, сепсис, нейтропения, открытые кровотечения, дегидратация). Терапия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Ланибом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быть возобновлена меньшими дозами препарата при степени диареи 1 или ниже (снижение дозы с 1000 мг/сутки до 750 мг/сутки, с</w:t>
      </w:r>
      <w:r w:rsidR="00DA4A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1250 мг/сутки до 1000 мг/сутки или с 1500 мг/сутки до 1250 мг/сутки).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Ланиб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должен быть полностью отменен без последующего возобновления при развитии диареи 4 степени</w:t>
      </w:r>
      <w:r w:rsidR="00621FC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5BB3E7B" w14:textId="77777777" w:rsidR="00A86D5F" w:rsidRPr="00A86D5F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86D5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Другие проявления токсичности препарата </w:t>
      </w:r>
    </w:p>
    <w:p w14:paraId="4B58C395" w14:textId="77777777" w:rsidR="004B12FD" w:rsidRDefault="00A86D5F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о прекращении и приостановке применения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Ланиба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быть принято, когда уровень развивающихся токсических эффектов больше или равен 2 степени по классификации нежелательных явлений. Если уровень токсических эффектов снизился до 1 степени и меньше, лечение может быть возобновлено с дозы 1000 мг/сутки при назначении с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трастузумабом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1250 мг/сутки при назначении с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капецитабином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1500 мг/сутки при назначении с ингибитором ароматазы. В случае повторного возникновения токсических эффектов лечение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Ланибом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должно возобновляться в более </w:t>
      </w:r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низкой дозе (750 мг/сутки при введении с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трастузумабом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1000 мг/сутки при введении с </w:t>
      </w:r>
      <w:proofErr w:type="spellStart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>капецитабином</w:t>
      </w:r>
      <w:proofErr w:type="spellEnd"/>
      <w:r w:rsidRPr="00A86D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1250 мг/сутки при введении с ингибитором ароматазы).</w:t>
      </w:r>
    </w:p>
    <w:p w14:paraId="27541ABD" w14:textId="77777777" w:rsidR="00C106A0" w:rsidRPr="00594839" w:rsidRDefault="00C106A0" w:rsidP="00A86D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927A28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5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5"/>
    <w:p w14:paraId="6E6544E4" w14:textId="77777777" w:rsidR="003055F8" w:rsidRPr="003055F8" w:rsidRDefault="003055F8" w:rsidP="003055F8">
      <w:pPr>
        <w:spacing w:after="0" w:line="20" w:lineRule="atLeast"/>
        <w:ind w:left="-5" w:right="7"/>
        <w:jc w:val="both"/>
        <w:rPr>
          <w:rFonts w:ascii="Times New Roman" w:hAnsi="Times New Roman"/>
          <w:sz w:val="28"/>
          <w:szCs w:val="24"/>
        </w:rPr>
      </w:pPr>
      <w:r w:rsidRPr="003055F8">
        <w:rPr>
          <w:rFonts w:ascii="Times New Roman" w:hAnsi="Times New Roman"/>
          <w:sz w:val="28"/>
          <w:szCs w:val="24"/>
          <w:lang w:val="ru"/>
        </w:rPr>
        <w:t xml:space="preserve">Сообщалось о следующих побочных реакциях, связанных с приемом </w:t>
      </w:r>
      <w:proofErr w:type="spellStart"/>
      <w:r w:rsidRPr="003055F8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3055F8">
        <w:rPr>
          <w:rFonts w:ascii="Times New Roman" w:hAnsi="Times New Roman"/>
          <w:sz w:val="28"/>
          <w:szCs w:val="24"/>
          <w:lang w:val="ru"/>
        </w:rPr>
        <w:t xml:space="preserve"> в качестве </w:t>
      </w:r>
      <w:proofErr w:type="spellStart"/>
      <w:r w:rsidRPr="003055F8">
        <w:rPr>
          <w:rFonts w:ascii="Times New Roman" w:hAnsi="Times New Roman"/>
          <w:sz w:val="28"/>
          <w:szCs w:val="24"/>
          <w:lang w:val="ru"/>
        </w:rPr>
        <w:t>монотерапии</w:t>
      </w:r>
      <w:proofErr w:type="spellEnd"/>
      <w:r w:rsidRPr="003055F8">
        <w:rPr>
          <w:rFonts w:ascii="Times New Roman" w:hAnsi="Times New Roman"/>
          <w:sz w:val="28"/>
          <w:szCs w:val="24"/>
          <w:lang w:val="ru"/>
        </w:rPr>
        <w:t xml:space="preserve"> или </w:t>
      </w:r>
      <w:proofErr w:type="spellStart"/>
      <w:r w:rsidRPr="003055F8">
        <w:rPr>
          <w:rFonts w:ascii="Times New Roman" w:hAnsi="Times New Roman"/>
          <w:sz w:val="28"/>
          <w:szCs w:val="24"/>
          <w:lang w:val="ru"/>
        </w:rPr>
        <w:t>лапатиниба</w:t>
      </w:r>
      <w:proofErr w:type="spellEnd"/>
      <w:r w:rsidRPr="003055F8">
        <w:rPr>
          <w:rFonts w:ascii="Times New Roman" w:hAnsi="Times New Roman"/>
          <w:sz w:val="28"/>
          <w:szCs w:val="24"/>
          <w:lang w:val="ru"/>
        </w:rPr>
        <w:t xml:space="preserve"> в сочетании с </w:t>
      </w:r>
      <w:proofErr w:type="spellStart"/>
      <w:r w:rsidRPr="003055F8">
        <w:rPr>
          <w:rFonts w:ascii="Times New Roman" w:hAnsi="Times New Roman"/>
          <w:sz w:val="28"/>
          <w:szCs w:val="24"/>
          <w:lang w:val="ru"/>
        </w:rPr>
        <w:t>капецитабином</w:t>
      </w:r>
      <w:proofErr w:type="spellEnd"/>
      <w:r w:rsidRPr="003055F8">
        <w:rPr>
          <w:rFonts w:ascii="Times New Roman" w:hAnsi="Times New Roman"/>
          <w:sz w:val="28"/>
          <w:szCs w:val="24"/>
          <w:lang w:val="ru"/>
        </w:rPr>
        <w:t xml:space="preserve">, </w:t>
      </w:r>
      <w:proofErr w:type="spellStart"/>
      <w:r w:rsidRPr="003055F8">
        <w:rPr>
          <w:rFonts w:ascii="Times New Roman" w:hAnsi="Times New Roman"/>
          <w:sz w:val="28"/>
          <w:szCs w:val="24"/>
          <w:lang w:val="ru"/>
        </w:rPr>
        <w:t>трастузумабом</w:t>
      </w:r>
      <w:proofErr w:type="spellEnd"/>
      <w:r w:rsidRPr="003055F8">
        <w:rPr>
          <w:rFonts w:ascii="Times New Roman" w:hAnsi="Times New Roman"/>
          <w:sz w:val="28"/>
          <w:szCs w:val="24"/>
          <w:lang w:val="ru"/>
        </w:rPr>
        <w:t xml:space="preserve"> или </w:t>
      </w:r>
      <w:proofErr w:type="spellStart"/>
      <w:r w:rsidRPr="003055F8">
        <w:rPr>
          <w:rFonts w:ascii="Times New Roman" w:hAnsi="Times New Roman"/>
          <w:sz w:val="28"/>
          <w:szCs w:val="24"/>
          <w:lang w:val="ru"/>
        </w:rPr>
        <w:t>летрозолом</w:t>
      </w:r>
      <w:proofErr w:type="spellEnd"/>
      <w:r w:rsidRPr="003055F8">
        <w:rPr>
          <w:rFonts w:ascii="Times New Roman" w:hAnsi="Times New Roman"/>
          <w:sz w:val="28"/>
          <w:szCs w:val="24"/>
          <w:lang w:val="ru"/>
        </w:rPr>
        <w:t xml:space="preserve">. </w:t>
      </w:r>
    </w:p>
    <w:p w14:paraId="3E10E267" w14:textId="77777777" w:rsidR="003055F8" w:rsidRPr="003055F8" w:rsidRDefault="003055F8" w:rsidP="003055F8">
      <w:pPr>
        <w:spacing w:after="0" w:line="20" w:lineRule="atLeast"/>
        <w:ind w:left="-5" w:right="7"/>
        <w:jc w:val="both"/>
        <w:rPr>
          <w:rFonts w:ascii="Times New Roman" w:hAnsi="Times New Roman"/>
          <w:sz w:val="28"/>
          <w:szCs w:val="24"/>
        </w:rPr>
      </w:pPr>
      <w:r w:rsidRPr="003055F8">
        <w:rPr>
          <w:rFonts w:ascii="Times New Roman" w:hAnsi="Times New Roman"/>
          <w:sz w:val="28"/>
          <w:szCs w:val="24"/>
          <w:lang w:val="ru"/>
        </w:rPr>
        <w:t xml:space="preserve">Следующие обозначения использовались для классификации частоты возникновения: </w:t>
      </w:r>
      <w:r w:rsidRPr="003055F8">
        <w:rPr>
          <w:rFonts w:ascii="Times New Roman" w:hAnsi="Times New Roman"/>
          <w:i/>
          <w:sz w:val="28"/>
          <w:szCs w:val="24"/>
          <w:lang w:val="ru"/>
        </w:rPr>
        <w:t>очень часто</w:t>
      </w:r>
      <w:r w:rsidRPr="003055F8">
        <w:rPr>
          <w:rFonts w:ascii="Times New Roman" w:hAnsi="Times New Roman"/>
          <w:sz w:val="28"/>
          <w:szCs w:val="24"/>
          <w:lang w:val="ru"/>
        </w:rPr>
        <w:t xml:space="preserve"> ((≥1/10), </w:t>
      </w:r>
      <w:r w:rsidRPr="003055F8">
        <w:rPr>
          <w:rFonts w:ascii="Times New Roman" w:hAnsi="Times New Roman"/>
          <w:i/>
          <w:sz w:val="28"/>
          <w:szCs w:val="24"/>
          <w:lang w:val="ru"/>
        </w:rPr>
        <w:t>часто</w:t>
      </w:r>
      <w:r w:rsidRPr="003055F8">
        <w:rPr>
          <w:rFonts w:ascii="Times New Roman" w:hAnsi="Times New Roman"/>
          <w:sz w:val="28"/>
          <w:szCs w:val="24"/>
          <w:lang w:val="ru"/>
        </w:rPr>
        <w:t xml:space="preserve"> (≥1/100 до &lt;1/10), </w:t>
      </w:r>
      <w:r w:rsidRPr="003055F8">
        <w:rPr>
          <w:rFonts w:ascii="Times New Roman" w:hAnsi="Times New Roman"/>
          <w:i/>
          <w:sz w:val="28"/>
          <w:szCs w:val="24"/>
          <w:lang w:val="ru"/>
        </w:rPr>
        <w:t>не часто</w:t>
      </w:r>
      <w:r w:rsidRPr="003055F8">
        <w:rPr>
          <w:rFonts w:ascii="Times New Roman" w:hAnsi="Times New Roman"/>
          <w:sz w:val="28"/>
          <w:szCs w:val="24"/>
          <w:lang w:val="ru"/>
        </w:rPr>
        <w:t xml:space="preserve"> (≥1/1000 до &lt;1/100), </w:t>
      </w:r>
      <w:r w:rsidRPr="003055F8">
        <w:rPr>
          <w:rFonts w:ascii="Times New Roman" w:hAnsi="Times New Roman"/>
          <w:i/>
          <w:sz w:val="28"/>
          <w:szCs w:val="24"/>
          <w:lang w:val="ru"/>
        </w:rPr>
        <w:t xml:space="preserve">редко </w:t>
      </w:r>
      <w:r w:rsidRPr="003055F8">
        <w:rPr>
          <w:rFonts w:ascii="Times New Roman" w:hAnsi="Times New Roman"/>
          <w:sz w:val="28"/>
          <w:szCs w:val="24"/>
          <w:lang w:val="ru"/>
        </w:rPr>
        <w:t xml:space="preserve">(≥1/10000 до &lt;1/1000), </w:t>
      </w:r>
      <w:r w:rsidRPr="003055F8">
        <w:rPr>
          <w:rFonts w:ascii="Times New Roman" w:hAnsi="Times New Roman"/>
          <w:i/>
          <w:sz w:val="28"/>
          <w:szCs w:val="24"/>
          <w:lang w:val="ru"/>
        </w:rPr>
        <w:t>очень редко</w:t>
      </w:r>
      <w:r w:rsidRPr="003055F8">
        <w:rPr>
          <w:rFonts w:ascii="Times New Roman" w:hAnsi="Times New Roman"/>
          <w:sz w:val="28"/>
          <w:szCs w:val="24"/>
          <w:lang w:val="ru"/>
        </w:rPr>
        <w:t xml:space="preserve"> (&lt; 1/10 000), неизвестно (не могло быть оценено из имеющихся данных). </w:t>
      </w:r>
    </w:p>
    <w:p w14:paraId="28CA61C3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ko-KR"/>
        </w:rPr>
      </w:pPr>
      <w:r>
        <w:rPr>
          <w:rFonts w:ascii="Times New Roman" w:hAnsi="Times New Roman"/>
          <w:i/>
          <w:sz w:val="28"/>
          <w:szCs w:val="28"/>
          <w:lang w:eastAsia="ko-KR"/>
        </w:rPr>
        <w:t>Очень часто</w:t>
      </w:r>
    </w:p>
    <w:p w14:paraId="77152F3B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анорексия</w:t>
      </w:r>
    </w:p>
    <w:p w14:paraId="02C1EFE3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бессонница*</w:t>
      </w:r>
    </w:p>
    <w:p w14:paraId="651C77E8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головная боль</w:t>
      </w:r>
      <w:r>
        <w:rPr>
          <w:rFonts w:ascii="Times New Roman" w:hAnsi="Times New Roman"/>
          <w:sz w:val="28"/>
          <w:szCs w:val="28"/>
          <w:vertAlign w:val="superscript"/>
        </w:rPr>
        <w:t>†</w:t>
      </w:r>
    </w:p>
    <w:p w14:paraId="1030F214" w14:textId="77777777" w:rsidR="00821948" w:rsidRDefault="00821948" w:rsidP="0082194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приливы</w:t>
      </w:r>
      <w:r>
        <w:rPr>
          <w:sz w:val="28"/>
          <w:szCs w:val="28"/>
          <w:vertAlign w:val="superscript"/>
        </w:rPr>
        <w:t>†</w:t>
      </w:r>
      <w:r>
        <w:rPr>
          <w:sz w:val="28"/>
          <w:szCs w:val="28"/>
        </w:rPr>
        <w:t xml:space="preserve"> </w:t>
      </w:r>
    </w:p>
    <w:p w14:paraId="40C397DF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носовые кровотечения</w:t>
      </w:r>
      <w:r>
        <w:rPr>
          <w:rFonts w:ascii="Times New Roman" w:hAnsi="Times New Roman"/>
          <w:sz w:val="28"/>
          <w:szCs w:val="28"/>
          <w:vertAlign w:val="superscript"/>
        </w:rPr>
        <w:t>†</w:t>
      </w:r>
      <w:r>
        <w:rPr>
          <w:rFonts w:ascii="Times New Roman" w:hAnsi="Times New Roman"/>
          <w:sz w:val="28"/>
          <w:szCs w:val="28"/>
        </w:rPr>
        <w:t>, кашель</w:t>
      </w:r>
      <w:r>
        <w:rPr>
          <w:rFonts w:ascii="Times New Roman" w:hAnsi="Times New Roman"/>
          <w:sz w:val="28"/>
          <w:szCs w:val="28"/>
          <w:vertAlign w:val="superscript"/>
        </w:rPr>
        <w:t>†</w:t>
      </w:r>
      <w:r>
        <w:rPr>
          <w:rFonts w:ascii="Times New Roman" w:hAnsi="Times New Roman"/>
          <w:sz w:val="28"/>
          <w:szCs w:val="28"/>
        </w:rPr>
        <w:t>, одышка</w:t>
      </w:r>
      <w:r>
        <w:rPr>
          <w:rFonts w:ascii="Times New Roman" w:hAnsi="Times New Roman"/>
          <w:sz w:val="28"/>
          <w:szCs w:val="28"/>
          <w:vertAlign w:val="superscript"/>
        </w:rPr>
        <w:t>†</w:t>
      </w:r>
    </w:p>
    <w:p w14:paraId="2AA61F1A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диарея, которая может приводить к дегидратации, тошнота, рвота, диспепсия*, стоматит*, запоры*, боль в животе* </w:t>
      </w:r>
    </w:p>
    <w:p w14:paraId="42040129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сыпь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(включая дерматит в виде акне), сухость кожи* †, синдром ладонно-подошвенной </w:t>
      </w:r>
      <w:proofErr w:type="spellStart"/>
      <w:r>
        <w:rPr>
          <w:rFonts w:ascii="Times New Roman" w:hAnsi="Times New Roman"/>
          <w:sz w:val="28"/>
          <w:szCs w:val="28"/>
        </w:rPr>
        <w:t>эритродизестезии</w:t>
      </w:r>
      <w:proofErr w:type="spellEnd"/>
      <w:r>
        <w:rPr>
          <w:rFonts w:ascii="Times New Roman" w:hAnsi="Times New Roman"/>
          <w:sz w:val="28"/>
          <w:szCs w:val="28"/>
        </w:rPr>
        <w:t xml:space="preserve"> *, алопеция †, зуд †</w:t>
      </w:r>
    </w:p>
    <w:p w14:paraId="2EAD5E22" w14:textId="77777777" w:rsidR="00821948" w:rsidRDefault="00821948" w:rsidP="0082194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боль в конечностях* †, боли в спине* †, артралгия †</w:t>
      </w:r>
    </w:p>
    <w:p w14:paraId="4C0108D4" w14:textId="77777777" w:rsidR="00821948" w:rsidRDefault="00821948" w:rsidP="0082194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усталость, воспаление слизистой оболочки*, астения †</w:t>
      </w:r>
    </w:p>
    <w:p w14:paraId="5EBC9BFC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ko-KR"/>
        </w:rPr>
      </w:pPr>
      <w:r>
        <w:rPr>
          <w:rFonts w:ascii="Times New Roman" w:hAnsi="Times New Roman"/>
          <w:i/>
          <w:sz w:val="28"/>
          <w:szCs w:val="28"/>
          <w:lang w:eastAsia="ko-KR"/>
        </w:rPr>
        <w:t>Часто</w:t>
      </w:r>
    </w:p>
    <w:p w14:paraId="04B8ECC4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головная боль*</w:t>
      </w:r>
    </w:p>
    <w:p w14:paraId="455FC2FD" w14:textId="77777777" w:rsidR="00821948" w:rsidRDefault="00821948" w:rsidP="0082194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фракции выброса левого желудочка </w:t>
      </w:r>
    </w:p>
    <w:p w14:paraId="05C84F10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запоры</w:t>
      </w:r>
      <w:r>
        <w:rPr>
          <w:rFonts w:ascii="Times New Roman" w:hAnsi="Times New Roman"/>
          <w:sz w:val="28"/>
          <w:szCs w:val="28"/>
          <w:vertAlign w:val="superscript"/>
        </w:rPr>
        <w:t>†</w:t>
      </w:r>
    </w:p>
    <w:p w14:paraId="708DC28C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гипербилирубинемия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гепатотоксичность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96D555F" w14:textId="77777777" w:rsidR="00821948" w:rsidRDefault="00821948" w:rsidP="0082194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поражения ногтей (</w:t>
      </w:r>
      <w:proofErr w:type="spellStart"/>
      <w:r>
        <w:rPr>
          <w:sz w:val="28"/>
          <w:szCs w:val="28"/>
        </w:rPr>
        <w:t>паранихия</w:t>
      </w:r>
      <w:proofErr w:type="spellEnd"/>
      <w:r>
        <w:rPr>
          <w:sz w:val="28"/>
          <w:szCs w:val="28"/>
        </w:rPr>
        <w:t>)</w:t>
      </w:r>
    </w:p>
    <w:p w14:paraId="4270CF30" w14:textId="77777777" w:rsidR="00821948" w:rsidRDefault="00821948" w:rsidP="00821948">
      <w:pPr>
        <w:pStyle w:val="a9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Нечасто</w:t>
      </w:r>
    </w:p>
    <w:p w14:paraId="7CC94EAF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интерстициальные заболевания легких, </w:t>
      </w:r>
      <w:proofErr w:type="spellStart"/>
      <w:r>
        <w:rPr>
          <w:rFonts w:ascii="Times New Roman" w:hAnsi="Times New Roman"/>
          <w:sz w:val="28"/>
          <w:szCs w:val="28"/>
        </w:rPr>
        <w:t>пневмонит</w:t>
      </w:r>
      <w:proofErr w:type="spellEnd"/>
    </w:p>
    <w:p w14:paraId="51DC7F24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ko-KR"/>
        </w:rPr>
      </w:pPr>
      <w:r>
        <w:rPr>
          <w:rFonts w:ascii="Times New Roman" w:hAnsi="Times New Roman"/>
          <w:i/>
          <w:sz w:val="28"/>
          <w:szCs w:val="28"/>
          <w:lang w:eastAsia="ko-KR"/>
        </w:rPr>
        <w:t>Редко</w:t>
      </w:r>
    </w:p>
    <w:p w14:paraId="130673C1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реакции гиперчувствительности, включая анафилактические реакции</w:t>
      </w:r>
    </w:p>
    <w:p w14:paraId="79936743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ko-KR"/>
        </w:rPr>
      </w:pPr>
      <w:r>
        <w:rPr>
          <w:rFonts w:ascii="Times New Roman" w:hAnsi="Times New Roman"/>
          <w:i/>
          <w:sz w:val="28"/>
          <w:szCs w:val="28"/>
          <w:lang w:eastAsia="ko-KR"/>
        </w:rPr>
        <w:t>Неизвестно</w:t>
      </w:r>
    </w:p>
    <w:p w14:paraId="26ED5F5E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вентрикулярные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аритмии/пируэтная тахикардия, удлинение интервала QT на электрокардиограмме**</w:t>
      </w:r>
    </w:p>
    <w:p w14:paraId="7B704D85" w14:textId="77777777" w:rsidR="00821948" w:rsidRDefault="00821948" w:rsidP="008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легочная артериальная гипертензия**</w:t>
      </w:r>
    </w:p>
    <w:p w14:paraId="1E5AE63F" w14:textId="77777777" w:rsidR="00821948" w:rsidRDefault="00821948" w:rsidP="0082194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серьезные кожные реакции, включая синдром </w:t>
      </w:r>
      <w:proofErr w:type="spellStart"/>
      <w:r>
        <w:rPr>
          <w:sz w:val="28"/>
          <w:szCs w:val="28"/>
        </w:rPr>
        <w:t>Стивенса</w:t>
      </w:r>
      <w:proofErr w:type="spellEnd"/>
      <w:r>
        <w:rPr>
          <w:sz w:val="28"/>
          <w:szCs w:val="28"/>
        </w:rPr>
        <w:t xml:space="preserve">-Джонсона и токсический эпидермальный </w:t>
      </w:r>
      <w:proofErr w:type="spellStart"/>
      <w:r>
        <w:rPr>
          <w:sz w:val="28"/>
          <w:szCs w:val="28"/>
        </w:rPr>
        <w:t>некролиз</w:t>
      </w:r>
      <w:proofErr w:type="spellEnd"/>
      <w:r>
        <w:rPr>
          <w:sz w:val="28"/>
          <w:szCs w:val="28"/>
        </w:rPr>
        <w:t>**</w:t>
      </w:r>
    </w:p>
    <w:p w14:paraId="203FCD57" w14:textId="77777777" w:rsidR="00821948" w:rsidRDefault="00821948" w:rsidP="00821948">
      <w:pPr>
        <w:pStyle w:val="a9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>
        <w:rPr>
          <w:sz w:val="24"/>
          <w:szCs w:val="24"/>
        </w:rPr>
        <w:tab/>
        <w:t xml:space="preserve">Эти побочные реакции наблюдались при назначении </w:t>
      </w:r>
      <w:proofErr w:type="spellStart"/>
      <w:r w:rsidR="001E070C">
        <w:rPr>
          <w:sz w:val="24"/>
          <w:szCs w:val="24"/>
        </w:rPr>
        <w:t>лапатиниба</w:t>
      </w:r>
      <w:proofErr w:type="spellEnd"/>
      <w:r>
        <w:rPr>
          <w:sz w:val="24"/>
          <w:szCs w:val="24"/>
        </w:rPr>
        <w:t xml:space="preserve"> в комбинации с </w:t>
      </w:r>
      <w:proofErr w:type="spellStart"/>
      <w:r>
        <w:rPr>
          <w:sz w:val="24"/>
          <w:szCs w:val="24"/>
        </w:rPr>
        <w:t>капецитабином</w:t>
      </w:r>
      <w:proofErr w:type="spellEnd"/>
      <w:r>
        <w:rPr>
          <w:sz w:val="24"/>
          <w:szCs w:val="24"/>
        </w:rPr>
        <w:t>.</w:t>
      </w:r>
    </w:p>
    <w:p w14:paraId="4AB53CE6" w14:textId="77777777" w:rsidR="00821948" w:rsidRDefault="00821948" w:rsidP="00821948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†</w:t>
      </w:r>
      <w:r>
        <w:rPr>
          <w:rFonts w:ascii="Times New Roman" w:hAnsi="Times New Roman"/>
          <w:sz w:val="24"/>
          <w:szCs w:val="24"/>
        </w:rPr>
        <w:tab/>
        <w:t xml:space="preserve">Эти побочные реакции наблюдались при назначении </w:t>
      </w:r>
      <w:proofErr w:type="spellStart"/>
      <w:r w:rsidR="001E070C">
        <w:rPr>
          <w:rFonts w:ascii="Times New Roman" w:hAnsi="Times New Roman"/>
          <w:sz w:val="24"/>
          <w:szCs w:val="24"/>
        </w:rPr>
        <w:t>лапатиниба</w:t>
      </w:r>
      <w:proofErr w:type="spellEnd"/>
      <w:r>
        <w:rPr>
          <w:rFonts w:ascii="Times New Roman" w:hAnsi="Times New Roman"/>
          <w:sz w:val="24"/>
          <w:szCs w:val="24"/>
        </w:rPr>
        <w:t xml:space="preserve"> в комбинации с </w:t>
      </w:r>
      <w:proofErr w:type="spellStart"/>
      <w:r>
        <w:rPr>
          <w:rFonts w:ascii="Times New Roman" w:hAnsi="Times New Roman"/>
          <w:sz w:val="24"/>
          <w:szCs w:val="24"/>
        </w:rPr>
        <w:t>летрозолом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EE2989" w14:textId="77777777" w:rsidR="00821948" w:rsidRDefault="00821948" w:rsidP="001E070C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ab/>
        <w:t>Неблагоприятные реакции, известные по данным добровольных отчетов и литературы</w:t>
      </w:r>
    </w:p>
    <w:p w14:paraId="3CBC286A" w14:textId="77777777" w:rsidR="001E070C" w:rsidRPr="001E070C" w:rsidRDefault="001E070C" w:rsidP="001E070C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9673477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2754776C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6E763AEE" w14:textId="77777777" w:rsidR="006703A5" w:rsidRPr="006C577B" w:rsidRDefault="00DD54E3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48BFAE5A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909021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50F62F3C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6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F7EE458" w14:textId="77777777"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7" w:name="2175220286"/>
      <w:bookmarkEnd w:id="6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Одна таблетка содержит </w:t>
      </w:r>
    </w:p>
    <w:p w14:paraId="120ACBC1" w14:textId="77777777" w:rsidR="006B7A90" w:rsidRPr="00844CE8" w:rsidRDefault="00844CE8" w:rsidP="002A2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</w:t>
      </w:r>
      <w:r w:rsidR="002A22B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–</w:t>
      </w: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D97838" w:rsidRPr="00D97838">
        <w:rPr>
          <w:rFonts w:ascii="Times New Roman" w:eastAsia="Times New Roman" w:hAnsi="Times New Roman"/>
          <w:bCs/>
          <w:sz w:val="28"/>
          <w:szCs w:val="28"/>
          <w:lang w:eastAsia="ru-RU"/>
        </w:rPr>
        <w:t>лапатиниба</w:t>
      </w:r>
      <w:proofErr w:type="spellEnd"/>
      <w:r w:rsidR="00D97838" w:rsidRPr="00D978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97838" w:rsidRPr="00D97838">
        <w:rPr>
          <w:rFonts w:ascii="Times New Roman" w:eastAsia="Times New Roman" w:hAnsi="Times New Roman"/>
          <w:bCs/>
          <w:sz w:val="28"/>
          <w:szCs w:val="28"/>
          <w:lang w:eastAsia="ru-RU"/>
        </w:rPr>
        <w:t>дитозилата</w:t>
      </w:r>
      <w:proofErr w:type="spellEnd"/>
      <w:r w:rsidR="00D97838" w:rsidRPr="00D978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моногидрат эквивалентно </w:t>
      </w:r>
      <w:proofErr w:type="spellStart"/>
      <w:proofErr w:type="gramStart"/>
      <w:r w:rsidR="00D97838" w:rsidRPr="00D97838">
        <w:rPr>
          <w:rFonts w:ascii="Times New Roman" w:eastAsia="Times New Roman" w:hAnsi="Times New Roman"/>
          <w:bCs/>
          <w:sz w:val="28"/>
          <w:szCs w:val="28"/>
          <w:lang w:eastAsia="ru-RU"/>
        </w:rPr>
        <w:t>лапатинибу</w:t>
      </w:r>
      <w:proofErr w:type="spellEnd"/>
      <w:r w:rsidR="00D97838" w:rsidRPr="00D978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250</w:t>
      </w:r>
      <w:proofErr w:type="gramEnd"/>
      <w:r w:rsidR="00D97838" w:rsidRPr="00D978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мг</w:t>
      </w:r>
      <w:r w:rsidR="00C340B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3375F0A" w14:textId="77777777" w:rsidR="00C340B9" w:rsidRPr="00C340B9" w:rsidRDefault="006B7A90" w:rsidP="00C340B9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C340B9">
        <w:rPr>
          <w:rFonts w:ascii="Times New Roman" w:hAnsi="Times New Roman"/>
          <w:iCs/>
          <w:spacing w:val="-2"/>
          <w:sz w:val="28"/>
          <w:szCs w:val="28"/>
        </w:rPr>
        <w:t>м</w:t>
      </w:r>
      <w:r w:rsidR="00C340B9" w:rsidRPr="00C340B9">
        <w:rPr>
          <w:rFonts w:ascii="Times New Roman" w:hAnsi="Times New Roman"/>
          <w:iCs/>
          <w:spacing w:val="-2"/>
          <w:sz w:val="28"/>
          <w:szCs w:val="28"/>
        </w:rPr>
        <w:t>аннитол (</w:t>
      </w:r>
      <w:proofErr w:type="spellStart"/>
      <w:r w:rsidR="00C340B9" w:rsidRPr="00C340B9">
        <w:rPr>
          <w:rFonts w:ascii="Times New Roman" w:hAnsi="Times New Roman"/>
          <w:iCs/>
          <w:spacing w:val="-2"/>
          <w:sz w:val="28"/>
          <w:szCs w:val="28"/>
        </w:rPr>
        <w:t>Перлитол</w:t>
      </w:r>
      <w:proofErr w:type="spellEnd"/>
      <w:r w:rsidR="00C340B9" w:rsidRPr="00C340B9">
        <w:rPr>
          <w:rFonts w:ascii="Times New Roman" w:hAnsi="Times New Roman"/>
          <w:iCs/>
          <w:spacing w:val="-2"/>
          <w:sz w:val="28"/>
          <w:szCs w:val="28"/>
        </w:rPr>
        <w:t xml:space="preserve"> 25С),</w:t>
      </w:r>
      <w:r w:rsidR="00C340B9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="00C340B9" w:rsidRPr="00C340B9">
        <w:rPr>
          <w:rFonts w:ascii="Times New Roman" w:hAnsi="Times New Roman"/>
          <w:iCs/>
          <w:spacing w:val="-2"/>
          <w:sz w:val="28"/>
          <w:szCs w:val="28"/>
        </w:rPr>
        <w:t>гипромеллоза</w:t>
      </w:r>
      <w:proofErr w:type="spellEnd"/>
      <w:r w:rsidR="00C340B9" w:rsidRPr="00C340B9">
        <w:rPr>
          <w:rFonts w:ascii="Times New Roman" w:hAnsi="Times New Roman"/>
          <w:iCs/>
          <w:spacing w:val="-2"/>
          <w:sz w:val="28"/>
          <w:szCs w:val="28"/>
        </w:rPr>
        <w:t xml:space="preserve"> Е5,</w:t>
      </w:r>
    </w:p>
    <w:p w14:paraId="3E45D7C0" w14:textId="77777777" w:rsidR="00C340B9" w:rsidRDefault="00C340B9" w:rsidP="00C340B9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C340B9">
        <w:rPr>
          <w:rFonts w:ascii="Times New Roman" w:hAnsi="Times New Roman"/>
          <w:iCs/>
          <w:spacing w:val="-2"/>
          <w:sz w:val="28"/>
          <w:szCs w:val="28"/>
        </w:rPr>
        <w:t xml:space="preserve">натрия </w:t>
      </w:r>
      <w:proofErr w:type="spellStart"/>
      <w:r w:rsidRPr="00C340B9">
        <w:rPr>
          <w:rFonts w:ascii="Times New Roman" w:hAnsi="Times New Roman"/>
          <w:iCs/>
          <w:spacing w:val="-2"/>
          <w:sz w:val="28"/>
          <w:szCs w:val="28"/>
        </w:rPr>
        <w:t>кроскармеллоза</w:t>
      </w:r>
      <w:proofErr w:type="spellEnd"/>
      <w:r w:rsidRPr="00C340B9">
        <w:rPr>
          <w:rFonts w:ascii="Times New Roman" w:hAnsi="Times New Roman"/>
          <w:iCs/>
          <w:spacing w:val="-2"/>
          <w:sz w:val="28"/>
          <w:szCs w:val="28"/>
        </w:rPr>
        <w:t>,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C340B9">
        <w:rPr>
          <w:rFonts w:ascii="Times New Roman" w:hAnsi="Times New Roman"/>
          <w:iCs/>
          <w:spacing w:val="-2"/>
          <w:sz w:val="28"/>
          <w:szCs w:val="28"/>
        </w:rPr>
        <w:t xml:space="preserve">магния </w:t>
      </w:r>
      <w:proofErr w:type="spellStart"/>
      <w:r w:rsidRPr="00C340B9">
        <w:rPr>
          <w:rFonts w:ascii="Times New Roman" w:hAnsi="Times New Roman"/>
          <w:iCs/>
          <w:spacing w:val="-2"/>
          <w:sz w:val="28"/>
          <w:szCs w:val="28"/>
        </w:rPr>
        <w:t>стеарат</w:t>
      </w:r>
      <w:proofErr w:type="spellEnd"/>
      <w:r w:rsidRPr="00C340B9">
        <w:rPr>
          <w:rFonts w:ascii="Times New Roman" w:hAnsi="Times New Roman"/>
          <w:iCs/>
          <w:spacing w:val="-2"/>
          <w:sz w:val="28"/>
          <w:szCs w:val="28"/>
        </w:rPr>
        <w:t>,</w:t>
      </w:r>
    </w:p>
    <w:p w14:paraId="1872C7C7" w14:textId="77777777" w:rsidR="00C340B9" w:rsidRDefault="00C340B9" w:rsidP="00C340B9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C340B9">
        <w:rPr>
          <w:rFonts w:ascii="Times New Roman" w:hAnsi="Times New Roman"/>
          <w:i/>
          <w:spacing w:val="-2"/>
          <w:sz w:val="28"/>
          <w:szCs w:val="28"/>
        </w:rPr>
        <w:t xml:space="preserve">пленочное покрытие </w:t>
      </w:r>
      <w:proofErr w:type="spellStart"/>
      <w:r w:rsidRPr="00C340B9">
        <w:rPr>
          <w:rFonts w:ascii="Times New Roman" w:hAnsi="Times New Roman"/>
          <w:i/>
          <w:spacing w:val="-2"/>
          <w:sz w:val="28"/>
          <w:szCs w:val="28"/>
        </w:rPr>
        <w:t>Табкоат</w:t>
      </w:r>
      <w:proofErr w:type="spellEnd"/>
      <w:r w:rsidRPr="00C340B9">
        <w:rPr>
          <w:rFonts w:ascii="Times New Roman" w:hAnsi="Times New Roman"/>
          <w:i/>
          <w:spacing w:val="-2"/>
          <w:sz w:val="28"/>
          <w:szCs w:val="28"/>
        </w:rPr>
        <w:t xml:space="preserve"> ТС-520127 желтый</w:t>
      </w:r>
      <w:r w:rsidRPr="00C340B9">
        <w:rPr>
          <w:rFonts w:ascii="Times New Roman" w:hAnsi="Times New Roman"/>
          <w:iCs/>
          <w:spacing w:val="-2"/>
          <w:sz w:val="28"/>
          <w:szCs w:val="28"/>
        </w:rPr>
        <w:t>: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C340B9">
        <w:rPr>
          <w:rFonts w:ascii="Times New Roman" w:hAnsi="Times New Roman"/>
          <w:iCs/>
          <w:spacing w:val="-2"/>
          <w:sz w:val="28"/>
          <w:szCs w:val="28"/>
        </w:rPr>
        <w:t>гипромеллоза</w:t>
      </w:r>
      <w:proofErr w:type="spellEnd"/>
      <w:r w:rsidRPr="00C340B9">
        <w:rPr>
          <w:rFonts w:ascii="Times New Roman" w:hAnsi="Times New Roman"/>
          <w:iCs/>
          <w:spacing w:val="-2"/>
          <w:sz w:val="28"/>
          <w:szCs w:val="28"/>
        </w:rPr>
        <w:t xml:space="preserve"> 2910 6 </w:t>
      </w:r>
      <w:proofErr w:type="spellStart"/>
      <w:r w:rsidRPr="00C340B9">
        <w:rPr>
          <w:rFonts w:ascii="Times New Roman" w:hAnsi="Times New Roman"/>
          <w:iCs/>
          <w:spacing w:val="-2"/>
          <w:sz w:val="28"/>
          <w:szCs w:val="28"/>
        </w:rPr>
        <w:t>мПас</w:t>
      </w:r>
      <w:proofErr w:type="spellEnd"/>
      <w:r w:rsidRPr="00C340B9">
        <w:rPr>
          <w:rFonts w:ascii="Times New Roman" w:hAnsi="Times New Roman"/>
          <w:iCs/>
          <w:spacing w:val="-2"/>
          <w:sz w:val="28"/>
          <w:szCs w:val="28"/>
        </w:rPr>
        <w:t xml:space="preserve"> (Е 464),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C340B9">
        <w:rPr>
          <w:rFonts w:ascii="Times New Roman" w:hAnsi="Times New Roman"/>
          <w:iCs/>
          <w:spacing w:val="-2"/>
          <w:sz w:val="28"/>
          <w:szCs w:val="28"/>
        </w:rPr>
        <w:t>титана диоксид (Е 171),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C340B9">
        <w:rPr>
          <w:rFonts w:ascii="Times New Roman" w:hAnsi="Times New Roman"/>
          <w:iCs/>
          <w:spacing w:val="-2"/>
          <w:sz w:val="28"/>
          <w:szCs w:val="28"/>
        </w:rPr>
        <w:t>тальк (Е 553b),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C340B9">
        <w:rPr>
          <w:rFonts w:ascii="Times New Roman" w:hAnsi="Times New Roman"/>
          <w:iCs/>
          <w:spacing w:val="-2"/>
          <w:sz w:val="28"/>
          <w:szCs w:val="28"/>
        </w:rPr>
        <w:t>макрогол</w:t>
      </w:r>
      <w:proofErr w:type="spellEnd"/>
      <w:r w:rsidRPr="00C340B9">
        <w:rPr>
          <w:rFonts w:ascii="Times New Roman" w:hAnsi="Times New Roman"/>
          <w:iCs/>
          <w:spacing w:val="-2"/>
          <w:sz w:val="28"/>
          <w:szCs w:val="28"/>
        </w:rPr>
        <w:t xml:space="preserve"> (Е1521),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C340B9">
        <w:rPr>
          <w:rFonts w:ascii="Times New Roman" w:hAnsi="Times New Roman"/>
          <w:iCs/>
          <w:spacing w:val="-2"/>
          <w:sz w:val="28"/>
          <w:szCs w:val="28"/>
        </w:rPr>
        <w:t>железа оксид желтый (Е 172),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C340B9">
        <w:rPr>
          <w:rFonts w:ascii="Times New Roman" w:hAnsi="Times New Roman"/>
          <w:iCs/>
          <w:spacing w:val="-2"/>
          <w:sz w:val="28"/>
          <w:szCs w:val="28"/>
        </w:rPr>
        <w:t>железа оксид красный (Е 172)</w:t>
      </w:r>
      <w:r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0666EDC5" w14:textId="77777777" w:rsidR="006B7A90" w:rsidRPr="00C340B9" w:rsidRDefault="006B7A90" w:rsidP="00C340B9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7"/>
    <w:p w14:paraId="35BC5531" w14:textId="77777777" w:rsidR="008351DA" w:rsidRDefault="00C340B9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B9">
        <w:rPr>
          <w:rFonts w:ascii="Times New Roman" w:eastAsia="Times New Roman" w:hAnsi="Times New Roman"/>
          <w:sz w:val="28"/>
          <w:szCs w:val="28"/>
          <w:lang w:eastAsia="ru-RU"/>
        </w:rPr>
        <w:t>Овальные двояковыпуклые таблетки, покрытые пленочной оболочкой желтого цвета, гладкие с обеих сторон.</w:t>
      </w:r>
    </w:p>
    <w:p w14:paraId="151CFC3D" w14:textId="77777777" w:rsidR="00C340B9" w:rsidRPr="00844CE8" w:rsidRDefault="00C340B9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0575EC" w14:textId="77777777" w:rsidR="00C9308C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2175220287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и упаковка</w:t>
      </w:r>
    </w:p>
    <w:p w14:paraId="30899655" w14:textId="77777777" w:rsidR="00C340B9" w:rsidRPr="00C340B9" w:rsidRDefault="00C340B9" w:rsidP="00C34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C340B9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По 30 таблеток помещают в контейнеры из полиэтилена высокой плотности. </w:t>
      </w:r>
    </w:p>
    <w:p w14:paraId="29590C2E" w14:textId="77777777" w:rsidR="00C340B9" w:rsidRPr="00C340B9" w:rsidRDefault="00C340B9" w:rsidP="00C34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C340B9">
        <w:rPr>
          <w:rFonts w:ascii="Times New Roman" w:eastAsia="Microsoft Sans Serif" w:hAnsi="Times New Roman"/>
          <w:sz w:val="28"/>
          <w:szCs w:val="28"/>
          <w:lang w:eastAsia="ru-RU" w:bidi="ru-RU"/>
        </w:rPr>
        <w:t>По одному контейнеру вместе с инструкцией по медицинскому применению на казахском и русском языках помещают в пачку из картона.</w:t>
      </w:r>
    </w:p>
    <w:p w14:paraId="5834F742" w14:textId="77777777" w:rsidR="008351DA" w:rsidRPr="00C340B9" w:rsidRDefault="008351D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FE81D0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8C6AC13" w14:textId="77777777" w:rsidR="00D14D61" w:rsidRPr="00844CE8" w:rsidRDefault="004D4212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65DB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78C458DA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1F918F05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9" w:name="2175220288"/>
      <w:bookmarkEnd w:id="8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2E2874FB" w14:textId="77777777" w:rsidR="00D65DBB" w:rsidRPr="00D65DBB" w:rsidRDefault="00D65DBB" w:rsidP="00D65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DBB">
        <w:rPr>
          <w:rFonts w:ascii="Times New Roman" w:hAnsi="Times New Roman"/>
          <w:sz w:val="28"/>
          <w:szCs w:val="28"/>
        </w:rPr>
        <w:t xml:space="preserve">Хранить в сухом, защищенном от света месте, при температуре не выше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65DBB">
        <w:rPr>
          <w:rFonts w:ascii="Times New Roman" w:hAnsi="Times New Roman"/>
          <w:sz w:val="28"/>
          <w:szCs w:val="28"/>
        </w:rPr>
        <w:t xml:space="preserve">30 </w:t>
      </w:r>
      <w:r w:rsidRPr="00D65DBB">
        <w:rPr>
          <w:rFonts w:ascii="Times New Roman" w:hAnsi="Times New Roman"/>
          <w:sz w:val="28"/>
          <w:szCs w:val="28"/>
        </w:rPr>
        <w:sym w:font="Symbol" w:char="F0B0"/>
      </w:r>
      <w:r w:rsidRPr="00D65DBB">
        <w:rPr>
          <w:rFonts w:ascii="Times New Roman" w:hAnsi="Times New Roman"/>
          <w:sz w:val="28"/>
          <w:szCs w:val="28"/>
        </w:rPr>
        <w:t>С.</w:t>
      </w:r>
    </w:p>
    <w:p w14:paraId="611C8392" w14:textId="77777777" w:rsidR="00D65DBB" w:rsidRPr="00D65DBB" w:rsidRDefault="00D65DBB" w:rsidP="00D65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DBB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</w:p>
    <w:bookmarkEnd w:id="9"/>
    <w:p w14:paraId="1DF04F55" w14:textId="77777777" w:rsidR="00D65DBB" w:rsidRDefault="00D65DBB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03ACF" w14:textId="77777777" w:rsidR="006C6558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1A7CE341" w14:textId="77777777" w:rsidR="00A13708" w:rsidRPr="00A13708" w:rsidRDefault="00A1370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3708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4426F61A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BC13D8" w14:textId="77777777" w:rsidR="006B7A90" w:rsidRPr="00AF368A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  <w:r w:rsidRPr="00AF368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AF368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производителе</w:t>
      </w:r>
    </w:p>
    <w:p w14:paraId="3B521B7D" w14:textId="77777777" w:rsidR="003F1875" w:rsidRPr="003F1875" w:rsidRDefault="003F1875" w:rsidP="003F187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F1875">
        <w:rPr>
          <w:rFonts w:ascii="Times New Roman" w:hAnsi="Times New Roman"/>
          <w:color w:val="000000"/>
          <w:sz w:val="28"/>
          <w:szCs w:val="28"/>
          <w:lang w:val="en-US"/>
        </w:rPr>
        <w:t xml:space="preserve">BDR Pharmaceuticals International Pvt. Ltd., </w:t>
      </w:r>
    </w:p>
    <w:p w14:paraId="57F551F7" w14:textId="77777777" w:rsidR="003F1875" w:rsidRPr="00AF368A" w:rsidRDefault="003F1875" w:rsidP="003F187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1875">
        <w:rPr>
          <w:rFonts w:ascii="Times New Roman" w:hAnsi="Times New Roman"/>
          <w:color w:val="000000"/>
          <w:sz w:val="28"/>
          <w:szCs w:val="28"/>
          <w:lang w:val="en-US"/>
        </w:rPr>
        <w:t>R.S. No: 578, Near Effluent Chan</w:t>
      </w:r>
      <w:r w:rsidR="005119B1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3F1875">
        <w:rPr>
          <w:rFonts w:ascii="Times New Roman" w:hAnsi="Times New Roman"/>
          <w:color w:val="000000"/>
          <w:sz w:val="28"/>
          <w:szCs w:val="28"/>
          <w:lang w:val="en-US"/>
        </w:rPr>
        <w:t xml:space="preserve">el Road, Village: Luna, Taluka: Padra, District: Vadodara – 391440. </w:t>
      </w:r>
      <w:r w:rsidRPr="005119B1">
        <w:rPr>
          <w:rFonts w:ascii="Times New Roman" w:hAnsi="Times New Roman"/>
          <w:color w:val="000000"/>
          <w:sz w:val="28"/>
          <w:szCs w:val="28"/>
          <w:lang w:val="en-US"/>
        </w:rPr>
        <w:t>Gujarat</w:t>
      </w:r>
      <w:r w:rsidRPr="00AF368A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Индия</w:t>
      </w:r>
      <w:r w:rsidRPr="00AF368A">
        <w:rPr>
          <w:rFonts w:ascii="Times New Roman" w:hAnsi="Times New Roman"/>
          <w:color w:val="000000"/>
          <w:sz w:val="28"/>
          <w:szCs w:val="28"/>
        </w:rPr>
        <w:t>.</w:t>
      </w:r>
    </w:p>
    <w:p w14:paraId="79565C79" w14:textId="77777777" w:rsidR="003F1875" w:rsidRDefault="003F1875" w:rsidP="003F1875">
      <w:pPr>
        <w:autoSpaceDE w:val="0"/>
        <w:autoSpaceDN w:val="0"/>
        <w:spacing w:after="0" w:line="240" w:lineRule="auto"/>
        <w:jc w:val="both"/>
        <w:rPr>
          <w:rStyle w:val="af"/>
          <w:rFonts w:ascii="Times New Roman" w:hAnsi="Times New Roman"/>
          <w:color w:val="auto"/>
          <w:sz w:val="28"/>
          <w:szCs w:val="28"/>
          <w:u w:val="none"/>
        </w:rPr>
      </w:pPr>
      <w:r w:rsidRPr="003F1875">
        <w:rPr>
          <w:rFonts w:ascii="Times New Roman" w:hAnsi="Times New Roman"/>
          <w:color w:val="000000"/>
          <w:sz w:val="28"/>
          <w:szCs w:val="28"/>
        </w:rPr>
        <w:t>тел</w:t>
      </w:r>
      <w:r w:rsidRPr="00A90A90">
        <w:rPr>
          <w:rFonts w:ascii="Times New Roman" w:hAnsi="Times New Roman"/>
          <w:color w:val="000000"/>
          <w:sz w:val="28"/>
          <w:szCs w:val="28"/>
        </w:rPr>
        <w:t>. +91 22 4056 0560</w:t>
      </w:r>
      <w:r w:rsidR="00A90A90">
        <w:rPr>
          <w:rFonts w:ascii="Times New Roman" w:hAnsi="Times New Roman"/>
          <w:color w:val="000000"/>
          <w:sz w:val="28"/>
          <w:szCs w:val="28"/>
        </w:rPr>
        <w:t xml:space="preserve">, электронный адрес: </w:t>
      </w:r>
      <w:hyperlink r:id="rId10" w:history="1">
        <w:r w:rsidR="00A90A90" w:rsidRPr="005020DD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bdrpharma@vsnl.com</w:t>
        </w:r>
      </w:hyperlink>
    </w:p>
    <w:p w14:paraId="012695CE" w14:textId="77777777" w:rsidR="00CF3350" w:rsidRPr="005020DD" w:rsidRDefault="00CF3350" w:rsidP="003F187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DBF73" w14:textId="77777777" w:rsidR="005020DD" w:rsidRPr="005020DD" w:rsidRDefault="005020DD" w:rsidP="005020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20DD">
        <w:rPr>
          <w:rFonts w:ascii="Times New Roman" w:hAnsi="Times New Roman"/>
          <w:b/>
          <w:bCs/>
          <w:sz w:val="28"/>
          <w:szCs w:val="28"/>
        </w:rPr>
        <w:t>Держатель регистрационного удостоверения</w:t>
      </w:r>
    </w:p>
    <w:p w14:paraId="01B680CA" w14:textId="77777777" w:rsidR="005020DD" w:rsidRPr="005020DD" w:rsidRDefault="005020DD" w:rsidP="005020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020DD">
        <w:rPr>
          <w:rFonts w:ascii="Times New Roman" w:hAnsi="Times New Roman"/>
          <w:sz w:val="28"/>
          <w:szCs w:val="28"/>
          <w:lang w:val="en-US"/>
        </w:rPr>
        <w:t xml:space="preserve">BDR Pharmaceuticals International Pvt. Ltd., </w:t>
      </w:r>
    </w:p>
    <w:p w14:paraId="51777470" w14:textId="77777777" w:rsidR="005020DD" w:rsidRPr="005020DD" w:rsidRDefault="005020DD" w:rsidP="005020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0DD">
        <w:rPr>
          <w:rFonts w:ascii="Times New Roman" w:hAnsi="Times New Roman"/>
          <w:sz w:val="28"/>
          <w:szCs w:val="28"/>
          <w:lang w:val="en-US"/>
        </w:rPr>
        <w:t xml:space="preserve">R.S. No: 578, Near Effluent Channel Road, Village: Luna, Taluka: Padra, District: Vadodara – 391440. </w:t>
      </w:r>
      <w:proofErr w:type="spellStart"/>
      <w:r w:rsidRPr="005020DD">
        <w:rPr>
          <w:rFonts w:ascii="Times New Roman" w:hAnsi="Times New Roman"/>
          <w:sz w:val="28"/>
          <w:szCs w:val="28"/>
        </w:rPr>
        <w:t>Gujarat</w:t>
      </w:r>
      <w:proofErr w:type="spellEnd"/>
      <w:r w:rsidRPr="005020DD">
        <w:rPr>
          <w:rFonts w:ascii="Times New Roman" w:hAnsi="Times New Roman"/>
          <w:sz w:val="28"/>
          <w:szCs w:val="28"/>
        </w:rPr>
        <w:t>, Индия.</w:t>
      </w:r>
    </w:p>
    <w:p w14:paraId="6EBAC939" w14:textId="77777777" w:rsidR="005119B1" w:rsidRDefault="005020DD" w:rsidP="005020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0DD">
        <w:rPr>
          <w:rFonts w:ascii="Times New Roman" w:hAnsi="Times New Roman"/>
          <w:sz w:val="28"/>
          <w:szCs w:val="28"/>
        </w:rPr>
        <w:t xml:space="preserve">тел. +91 22 4056 0560, электронный адрес: </w:t>
      </w:r>
      <w:hyperlink r:id="rId11" w:history="1">
        <w:r w:rsidR="00CF3350" w:rsidRPr="000F4729">
          <w:rPr>
            <w:rStyle w:val="af"/>
            <w:rFonts w:ascii="Times New Roman" w:hAnsi="Times New Roman"/>
            <w:sz w:val="28"/>
            <w:szCs w:val="28"/>
          </w:rPr>
          <w:t>bdrpharma@vsnl.com</w:t>
        </w:r>
      </w:hyperlink>
    </w:p>
    <w:p w14:paraId="0EC68D11" w14:textId="77777777" w:rsidR="00CF3350" w:rsidRPr="005020DD" w:rsidRDefault="00CF3350" w:rsidP="005020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1E744E" w14:textId="77777777" w:rsidR="005A6DEE" w:rsidRPr="005020DD" w:rsidRDefault="005A6DEE" w:rsidP="005A6D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cs-CZ"/>
        </w:rPr>
      </w:pPr>
      <w:proofErr w:type="spellStart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Наименование</w:t>
      </w:r>
      <w:proofErr w:type="spellEnd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, адрес и </w:t>
      </w:r>
      <w:proofErr w:type="spellStart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контактные</w:t>
      </w:r>
      <w:proofErr w:type="spellEnd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 </w:t>
      </w:r>
      <w:proofErr w:type="spellStart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данные</w:t>
      </w:r>
      <w:proofErr w:type="spellEnd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 (телефон, факс, </w:t>
      </w:r>
      <w:proofErr w:type="spellStart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электронная</w:t>
      </w:r>
      <w:proofErr w:type="spellEnd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 </w:t>
      </w:r>
      <w:proofErr w:type="spellStart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почта</w:t>
      </w:r>
      <w:proofErr w:type="spellEnd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) </w:t>
      </w:r>
      <w:proofErr w:type="spellStart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организации</w:t>
      </w:r>
      <w:proofErr w:type="spellEnd"/>
      <w:r w:rsidRPr="005020DD"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, принимающей претензии (предложения) по качеству лекарственного средства от потребителей </w:t>
      </w:r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на </w:t>
      </w:r>
      <w:proofErr w:type="spellStart"/>
      <w:r w:rsidRPr="005020DD"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территории</w:t>
      </w:r>
      <w:proofErr w:type="spellEnd"/>
      <w:r w:rsidRPr="005020DD"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 Республики Казахстан</w:t>
      </w:r>
    </w:p>
    <w:p w14:paraId="1560B7D8" w14:textId="77777777" w:rsidR="00A90A90" w:rsidRPr="000556D6" w:rsidRDefault="005A6DEE" w:rsidP="005A6DEE">
      <w:pPr>
        <w:autoSpaceDE w:val="0"/>
        <w:autoSpaceDN w:val="0"/>
        <w:spacing w:after="0" w:line="240" w:lineRule="auto"/>
        <w:jc w:val="both"/>
        <w:rPr>
          <w:rStyle w:val="af"/>
          <w:rFonts w:ascii="Times New Roman" w:eastAsia="Times New Roman" w:hAnsi="Times New Roman"/>
          <w:bCs/>
          <w:iCs/>
          <w:color w:val="auto"/>
          <w:sz w:val="28"/>
          <w:szCs w:val="20"/>
          <w:u w:val="none"/>
          <w:lang w:eastAsia="cs-CZ"/>
        </w:rPr>
      </w:pPr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ТОО «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val="en-US" w:eastAsia="cs-CZ"/>
        </w:rPr>
        <w:t>Rogers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 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val="en-US" w:eastAsia="cs-CZ"/>
        </w:rPr>
        <w:t>Pharma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»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, 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Республика Казахстан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, 050043, 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г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. 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Алматы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, 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мкн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. </w:t>
      </w:r>
      <w:proofErr w:type="spellStart"/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Мирас</w:t>
      </w:r>
      <w:proofErr w:type="spellEnd"/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, 157, </w:t>
      </w:r>
      <w:r w:rsidR="00D70797"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блок 2, </w:t>
      </w:r>
      <w:proofErr w:type="spellStart"/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н.п</w:t>
      </w:r>
      <w:proofErr w:type="spellEnd"/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. 819.</w:t>
      </w:r>
      <w:r w:rsidR="00A90A90"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 </w:t>
      </w:r>
      <w:r w:rsidRPr="005020DD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Тел. (727) 311-81-96/97, </w:t>
      </w:r>
      <w:r w:rsidR="00A47955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электронный адрес: </w:t>
      </w:r>
      <w:hyperlink r:id="rId12" w:history="1">
        <w:r w:rsidR="00A47955" w:rsidRPr="00A47955">
          <w:rPr>
            <w:rStyle w:val="af"/>
            <w:rFonts w:ascii="Times New Roman" w:eastAsia="Times New Roman" w:hAnsi="Times New Roman"/>
            <w:bCs/>
            <w:iCs/>
            <w:color w:val="auto"/>
            <w:sz w:val="28"/>
            <w:szCs w:val="20"/>
            <w:u w:val="none"/>
            <w:lang w:val="en-US" w:eastAsia="cs-CZ"/>
          </w:rPr>
          <w:t>office</w:t>
        </w:r>
        <w:r w:rsidR="00A47955" w:rsidRPr="00A47955">
          <w:rPr>
            <w:rStyle w:val="af"/>
            <w:rFonts w:ascii="Times New Roman" w:eastAsia="Times New Roman" w:hAnsi="Times New Roman"/>
            <w:bCs/>
            <w:iCs/>
            <w:color w:val="auto"/>
            <w:sz w:val="28"/>
            <w:szCs w:val="20"/>
            <w:u w:val="none"/>
            <w:lang w:eastAsia="cs-CZ"/>
          </w:rPr>
          <w:t>.</w:t>
        </w:r>
        <w:r w:rsidR="00A47955" w:rsidRPr="00A47955">
          <w:rPr>
            <w:rStyle w:val="af"/>
            <w:rFonts w:ascii="Times New Roman" w:eastAsia="Times New Roman" w:hAnsi="Times New Roman"/>
            <w:bCs/>
            <w:iCs/>
            <w:color w:val="auto"/>
            <w:sz w:val="28"/>
            <w:szCs w:val="20"/>
            <w:u w:val="none"/>
            <w:lang w:val="en-US" w:eastAsia="cs-CZ"/>
          </w:rPr>
          <w:t>secretary</w:t>
        </w:r>
        <w:r w:rsidR="00A47955" w:rsidRPr="00A47955">
          <w:rPr>
            <w:rStyle w:val="af"/>
            <w:rFonts w:ascii="Times New Roman" w:eastAsia="Times New Roman" w:hAnsi="Times New Roman"/>
            <w:bCs/>
            <w:iCs/>
            <w:color w:val="auto"/>
            <w:sz w:val="28"/>
            <w:szCs w:val="20"/>
            <w:u w:val="none"/>
            <w:lang w:eastAsia="cs-CZ"/>
          </w:rPr>
          <w:t>@</w:t>
        </w:r>
        <w:proofErr w:type="spellStart"/>
        <w:r w:rsidR="00A47955" w:rsidRPr="00A47955">
          <w:rPr>
            <w:rStyle w:val="af"/>
            <w:rFonts w:ascii="Times New Roman" w:eastAsia="Times New Roman" w:hAnsi="Times New Roman"/>
            <w:bCs/>
            <w:iCs/>
            <w:color w:val="auto"/>
            <w:sz w:val="28"/>
            <w:szCs w:val="20"/>
            <w:u w:val="none"/>
            <w:lang w:val="en-US" w:eastAsia="cs-CZ"/>
          </w:rPr>
          <w:t>rogersgroup</w:t>
        </w:r>
        <w:proofErr w:type="spellEnd"/>
        <w:r w:rsidR="00A47955" w:rsidRPr="00A47955">
          <w:rPr>
            <w:rStyle w:val="af"/>
            <w:rFonts w:ascii="Times New Roman" w:eastAsia="Times New Roman" w:hAnsi="Times New Roman"/>
            <w:bCs/>
            <w:iCs/>
            <w:color w:val="auto"/>
            <w:sz w:val="28"/>
            <w:szCs w:val="20"/>
            <w:u w:val="none"/>
            <w:lang w:eastAsia="cs-CZ"/>
          </w:rPr>
          <w:t>.</w:t>
        </w:r>
        <w:r w:rsidR="00A47955" w:rsidRPr="00A47955">
          <w:rPr>
            <w:rStyle w:val="af"/>
            <w:rFonts w:ascii="Times New Roman" w:eastAsia="Times New Roman" w:hAnsi="Times New Roman"/>
            <w:bCs/>
            <w:iCs/>
            <w:color w:val="auto"/>
            <w:sz w:val="28"/>
            <w:szCs w:val="20"/>
            <w:u w:val="none"/>
            <w:lang w:val="en-US" w:eastAsia="cs-CZ"/>
          </w:rPr>
          <w:t>in</w:t>
        </w:r>
      </w:hyperlink>
    </w:p>
    <w:p w14:paraId="3A799556" w14:textId="77777777" w:rsidR="00CF3350" w:rsidRPr="000556D6" w:rsidRDefault="00CF3350" w:rsidP="005A6DEE">
      <w:pPr>
        <w:autoSpaceDE w:val="0"/>
        <w:autoSpaceDN w:val="0"/>
        <w:spacing w:after="0" w:line="240" w:lineRule="auto"/>
        <w:jc w:val="both"/>
        <w:rPr>
          <w:rStyle w:val="af"/>
          <w:rFonts w:ascii="Times New Roman" w:eastAsia="Times New Roman" w:hAnsi="Times New Roman"/>
          <w:bCs/>
          <w:iCs/>
          <w:color w:val="auto"/>
          <w:sz w:val="28"/>
          <w:szCs w:val="20"/>
          <w:u w:val="none"/>
          <w:lang w:eastAsia="cs-CZ"/>
        </w:rPr>
      </w:pPr>
    </w:p>
    <w:p w14:paraId="6562E319" w14:textId="77777777" w:rsidR="00CF3350" w:rsidRPr="005020DD" w:rsidRDefault="00CF3350" w:rsidP="005A6D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</w:pPr>
    </w:p>
    <w:p w14:paraId="1DAF34A3" w14:textId="77777777" w:rsidR="005A6DEE" w:rsidRPr="005A6DEE" w:rsidRDefault="005A6DEE" w:rsidP="005A6D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</w:pPr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kk-KZ" w:eastAsia="cs-CZ"/>
        </w:rPr>
        <w:t xml:space="preserve">Наименование, адрес и контактные данные  (телефон,  факс,  электронная  почта) организации </w:t>
      </w:r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  <w:t xml:space="preserve">на территории Республики Казахстан, </w:t>
      </w:r>
      <w:proofErr w:type="spellStart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ответственной</w:t>
      </w:r>
      <w:proofErr w:type="spellEnd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за</w:t>
      </w:r>
      <w:proofErr w:type="spellEnd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пострегистрационное</w:t>
      </w:r>
      <w:proofErr w:type="spellEnd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наблюдение</w:t>
      </w:r>
      <w:proofErr w:type="spellEnd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за</w:t>
      </w:r>
      <w:proofErr w:type="spellEnd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безопасностью</w:t>
      </w:r>
      <w:proofErr w:type="spellEnd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лекарственного</w:t>
      </w:r>
      <w:proofErr w:type="spellEnd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средства</w:t>
      </w:r>
      <w:proofErr w:type="spellEnd"/>
      <w:r w:rsidRPr="005A6DE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</w:p>
    <w:p w14:paraId="65832309" w14:textId="77777777" w:rsidR="005E7D89" w:rsidRDefault="005020DD" w:rsidP="005A6D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proofErr w:type="spellStart"/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Канумуру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И. Г.,</w:t>
      </w:r>
      <w:r w:rsidR="00F23BFD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Республика Казахстан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>, 050043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, 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г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Алматы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мкн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proofErr w:type="spellStart"/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Мирас</w:t>
      </w:r>
      <w:proofErr w:type="spellEnd"/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, 157</w:t>
      </w:r>
      <w:r w:rsidR="00D70797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, блок 2, н. п. 819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. 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Тел. (727) 311-81-96/97, </w:t>
      </w:r>
    </w:p>
    <w:p w14:paraId="72E3F798" w14:textId="77777777" w:rsidR="005E7D89" w:rsidRDefault="005E7D89" w:rsidP="005A6D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Телефон с 24-х часовой доступностью: </w:t>
      </w:r>
      <w:r w:rsidR="005A6DEE" w:rsidRPr="005A6DE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+77479911904</w:t>
      </w:r>
    </w:p>
    <w:p w14:paraId="2E9E6E91" w14:textId="77777777" w:rsidR="005A6DEE" w:rsidRDefault="005020DD" w:rsidP="005A6D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электронный адрес: </w:t>
      </w:r>
      <w:hyperlink r:id="rId13" w:history="1">
        <w:r w:rsidR="005E7D89" w:rsidRPr="000F472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irina</w:t>
        </w:r>
        <w:r w:rsidR="005E7D89" w:rsidRPr="000F472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5E7D89" w:rsidRPr="000F472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volovnikova</w:t>
        </w:r>
        <w:r w:rsidR="005E7D89" w:rsidRPr="000F472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@</w:t>
        </w:r>
        <w:r w:rsidR="005E7D89" w:rsidRPr="000F472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gmail</w:t>
        </w:r>
        <w:r w:rsidR="005E7D89" w:rsidRPr="000F472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5E7D89" w:rsidRPr="000F472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com</w:t>
        </w:r>
      </w:hyperlink>
    </w:p>
    <w:p w14:paraId="0F047D55" w14:textId="77777777" w:rsidR="005E7D89" w:rsidRPr="00F23BFD" w:rsidRDefault="005E7D89" w:rsidP="005A6D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</w:p>
    <w:p w14:paraId="3A48D263" w14:textId="77777777" w:rsidR="00EF4C53" w:rsidRPr="00844CE8" w:rsidRDefault="00575348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6BBF5C3" w14:textId="77777777" w:rsidR="003043BF" w:rsidRPr="007365A8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val="cs-CZ"/>
        </w:rPr>
      </w:pPr>
    </w:p>
    <w:p w14:paraId="43CFEC7E" w14:textId="77777777" w:rsidR="00144CCD" w:rsidRDefault="00144CC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1AB06F86" w14:textId="77777777" w:rsidR="007E1A7B" w:rsidRPr="005E7D89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DB321AC" w14:textId="77777777" w:rsidR="007E1A7B" w:rsidRPr="005E7D89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C1FB3F3" w14:textId="77777777" w:rsidR="00844CE8" w:rsidRPr="005E7D89" w:rsidRDefault="00844CE8" w:rsidP="00844CE8">
      <w:pPr>
        <w:pStyle w:val="ConsPlusNormal"/>
        <w:ind w:firstLine="540"/>
        <w:jc w:val="both"/>
        <w:rPr>
          <w:sz w:val="24"/>
          <w:szCs w:val="24"/>
        </w:rPr>
      </w:pPr>
    </w:p>
    <w:p w14:paraId="474763D8" w14:textId="77777777" w:rsidR="002C76D7" w:rsidRPr="005E7D89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CE24E5" w14:textId="24A00605" w:rsidR="007A1234" w:rsidRDefault="007A1234"/>
    <w:sectPr w:rsidR="007A1234" w:rsidSect="00F97B57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5E2FF" w14:textId="77777777" w:rsidR="00DD54E3" w:rsidRDefault="00DD54E3" w:rsidP="00D275FC">
      <w:pPr>
        <w:spacing w:after="0" w:line="240" w:lineRule="auto"/>
      </w:pPr>
      <w:r>
        <w:separator/>
      </w:r>
    </w:p>
  </w:endnote>
  <w:endnote w:type="continuationSeparator" w:id="0">
    <w:p w14:paraId="13560D32" w14:textId="77777777" w:rsidR="00DD54E3" w:rsidRDefault="00DD54E3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C82F" w14:textId="77777777" w:rsidR="009D472B" w:rsidRDefault="00DD54E3"/>
  <w:p w14:paraId="0BC36DF9" w14:textId="77777777" w:rsidR="007A1234" w:rsidRDefault="00DD54E3">
    <w:r>
      <w:rPr>
        <w:rFonts w:ascii="Times New Roman" w:eastAsia="Times New Roman" w:hAnsi="Times New Roman"/>
      </w:rPr>
      <w:t>Решение: N087710</w:t>
    </w:r>
    <w:r>
      <w:rPr>
        <w:rFonts w:ascii="Times New Roman" w:eastAsia="Times New Roman" w:hAnsi="Times New Roman"/>
      </w:rPr>
      <w:br/>
      <w:t>Дата решения: 25.07.2025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</w:t>
    </w:r>
    <w:r>
      <w:rPr>
        <w:rFonts w:ascii="Times New Roman" w:eastAsia="Times New Roman" w:hAnsi="Times New Roman"/>
      </w:rPr>
      <w:t>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1DC2" w14:textId="77777777" w:rsidR="009D472B" w:rsidRDefault="00DD54E3"/>
  <w:p w14:paraId="21D6686E" w14:textId="5229B20A" w:rsidR="007A1234" w:rsidRDefault="007A12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147" w14:textId="77777777" w:rsidR="009D472B" w:rsidRDefault="00DD54E3"/>
  <w:p w14:paraId="5181EB4E" w14:textId="77777777" w:rsidR="007A1234" w:rsidRDefault="00DD54E3">
    <w:r>
      <w:rPr>
        <w:rFonts w:ascii="Times New Roman" w:eastAsia="Times New Roman" w:hAnsi="Times New Roman"/>
      </w:rPr>
      <w:t>Решение: N087710</w:t>
    </w:r>
    <w:r>
      <w:rPr>
        <w:rFonts w:ascii="Times New Roman" w:eastAsia="Times New Roman" w:hAnsi="Times New Roman"/>
      </w:rPr>
      <w:br/>
      <w:t>Дата решения: 25.07.2025</w:t>
    </w:r>
    <w:r>
      <w:rPr>
        <w:rFonts w:ascii="Times New Roman" w:eastAsia="Times New Roman" w:hAnsi="Times New Roman"/>
      </w:rPr>
      <w:br/>
      <w:t>Фамилия,</w:t>
    </w:r>
    <w:r>
      <w:rPr>
        <w:rFonts w:ascii="Times New Roman" w:eastAsia="Times New Roman" w:hAnsi="Times New Roman"/>
      </w:rPr>
      <w:t xml:space="preserve"> имя, отчество (при его наличии) 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 xml:space="preserve">Данный документ согласно пункту 1 статьи </w:t>
    </w:r>
    <w:r>
      <w:rPr>
        <w:rFonts w:ascii="Times New Roman" w:eastAsia="Times New Roman" w:hAnsi="Times New Roman"/>
      </w:rPr>
      <w:t>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C4CB" w14:textId="77777777" w:rsidR="00DD54E3" w:rsidRDefault="00DD54E3" w:rsidP="00D275FC">
      <w:pPr>
        <w:spacing w:after="0" w:line="240" w:lineRule="auto"/>
      </w:pPr>
      <w:r>
        <w:separator/>
      </w:r>
    </w:p>
  </w:footnote>
  <w:footnote w:type="continuationSeparator" w:id="0">
    <w:p w14:paraId="75BA70CF" w14:textId="77777777" w:rsidR="00DD54E3" w:rsidRDefault="00DD54E3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C98" w14:textId="77777777" w:rsidR="00D275FC" w:rsidRDefault="005E4276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3A3298" wp14:editId="01B3ABAB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CD664F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A329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64CD664F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12BE"/>
    <w:rsid w:val="00023635"/>
    <w:rsid w:val="000264BB"/>
    <w:rsid w:val="00033FC1"/>
    <w:rsid w:val="00034159"/>
    <w:rsid w:val="00042999"/>
    <w:rsid w:val="000556D6"/>
    <w:rsid w:val="000852A1"/>
    <w:rsid w:val="000972E6"/>
    <w:rsid w:val="000A0D71"/>
    <w:rsid w:val="000C2C4B"/>
    <w:rsid w:val="000C4C48"/>
    <w:rsid w:val="000E01AB"/>
    <w:rsid w:val="000E2683"/>
    <w:rsid w:val="000E49F0"/>
    <w:rsid w:val="000E6126"/>
    <w:rsid w:val="000F05E3"/>
    <w:rsid w:val="00100406"/>
    <w:rsid w:val="00107A8A"/>
    <w:rsid w:val="00111788"/>
    <w:rsid w:val="00116C58"/>
    <w:rsid w:val="00132B9A"/>
    <w:rsid w:val="00134DED"/>
    <w:rsid w:val="001368AE"/>
    <w:rsid w:val="00144CCD"/>
    <w:rsid w:val="0014739A"/>
    <w:rsid w:val="0015490C"/>
    <w:rsid w:val="001573E2"/>
    <w:rsid w:val="0016278D"/>
    <w:rsid w:val="0016582E"/>
    <w:rsid w:val="00170A37"/>
    <w:rsid w:val="001937AD"/>
    <w:rsid w:val="001A2CB2"/>
    <w:rsid w:val="001A5CCF"/>
    <w:rsid w:val="001B6AEC"/>
    <w:rsid w:val="001D7851"/>
    <w:rsid w:val="001E070C"/>
    <w:rsid w:val="001E6F4C"/>
    <w:rsid w:val="001F16AA"/>
    <w:rsid w:val="00203355"/>
    <w:rsid w:val="00211005"/>
    <w:rsid w:val="00217D41"/>
    <w:rsid w:val="00222CA6"/>
    <w:rsid w:val="00230D81"/>
    <w:rsid w:val="00232642"/>
    <w:rsid w:val="00237697"/>
    <w:rsid w:val="00247530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95465"/>
    <w:rsid w:val="002A22B3"/>
    <w:rsid w:val="002A3095"/>
    <w:rsid w:val="002A591C"/>
    <w:rsid w:val="002B3270"/>
    <w:rsid w:val="002B7135"/>
    <w:rsid w:val="002C10E1"/>
    <w:rsid w:val="002C15EB"/>
    <w:rsid w:val="002C1660"/>
    <w:rsid w:val="002C35A2"/>
    <w:rsid w:val="002C5345"/>
    <w:rsid w:val="002C6301"/>
    <w:rsid w:val="002C76D7"/>
    <w:rsid w:val="002D551C"/>
    <w:rsid w:val="002D56B7"/>
    <w:rsid w:val="002E0BAD"/>
    <w:rsid w:val="002F4A14"/>
    <w:rsid w:val="00302607"/>
    <w:rsid w:val="003043BF"/>
    <w:rsid w:val="003055F8"/>
    <w:rsid w:val="00320073"/>
    <w:rsid w:val="003262DF"/>
    <w:rsid w:val="00334685"/>
    <w:rsid w:val="003356B2"/>
    <w:rsid w:val="00347C25"/>
    <w:rsid w:val="00354078"/>
    <w:rsid w:val="0036288F"/>
    <w:rsid w:val="00365B10"/>
    <w:rsid w:val="003662F1"/>
    <w:rsid w:val="00367BA7"/>
    <w:rsid w:val="003761C0"/>
    <w:rsid w:val="00380F98"/>
    <w:rsid w:val="003812B2"/>
    <w:rsid w:val="00383CDB"/>
    <w:rsid w:val="00384F08"/>
    <w:rsid w:val="003879F9"/>
    <w:rsid w:val="003A035E"/>
    <w:rsid w:val="003B0285"/>
    <w:rsid w:val="003B148C"/>
    <w:rsid w:val="003B64D3"/>
    <w:rsid w:val="003C2917"/>
    <w:rsid w:val="003D2DB3"/>
    <w:rsid w:val="003E13CF"/>
    <w:rsid w:val="003E5DEC"/>
    <w:rsid w:val="003F1875"/>
    <w:rsid w:val="003F5344"/>
    <w:rsid w:val="003F7EDC"/>
    <w:rsid w:val="00404548"/>
    <w:rsid w:val="00407AEF"/>
    <w:rsid w:val="0041162E"/>
    <w:rsid w:val="0042786D"/>
    <w:rsid w:val="00433C62"/>
    <w:rsid w:val="00434D01"/>
    <w:rsid w:val="004373AC"/>
    <w:rsid w:val="00463588"/>
    <w:rsid w:val="00470D47"/>
    <w:rsid w:val="00472EF5"/>
    <w:rsid w:val="00483247"/>
    <w:rsid w:val="0048687C"/>
    <w:rsid w:val="004A232C"/>
    <w:rsid w:val="004A31B4"/>
    <w:rsid w:val="004B12FD"/>
    <w:rsid w:val="004B21AD"/>
    <w:rsid w:val="004C1922"/>
    <w:rsid w:val="004C462F"/>
    <w:rsid w:val="004D3E83"/>
    <w:rsid w:val="004D4212"/>
    <w:rsid w:val="004D49E9"/>
    <w:rsid w:val="004E7623"/>
    <w:rsid w:val="005020DD"/>
    <w:rsid w:val="005071DA"/>
    <w:rsid w:val="005119B1"/>
    <w:rsid w:val="00512C02"/>
    <w:rsid w:val="00523D82"/>
    <w:rsid w:val="00541A00"/>
    <w:rsid w:val="005444B2"/>
    <w:rsid w:val="00552F8B"/>
    <w:rsid w:val="00561FE7"/>
    <w:rsid w:val="00564181"/>
    <w:rsid w:val="00575348"/>
    <w:rsid w:val="005779DE"/>
    <w:rsid w:val="005869C5"/>
    <w:rsid w:val="00594839"/>
    <w:rsid w:val="005A3C81"/>
    <w:rsid w:val="005A5680"/>
    <w:rsid w:val="005A6639"/>
    <w:rsid w:val="005A6914"/>
    <w:rsid w:val="005A6DEE"/>
    <w:rsid w:val="005B3FFE"/>
    <w:rsid w:val="005B73CA"/>
    <w:rsid w:val="005C1519"/>
    <w:rsid w:val="005C1C3B"/>
    <w:rsid w:val="005C1C4E"/>
    <w:rsid w:val="005C3F43"/>
    <w:rsid w:val="005C4A16"/>
    <w:rsid w:val="005C4B12"/>
    <w:rsid w:val="005D68C6"/>
    <w:rsid w:val="005D7EE3"/>
    <w:rsid w:val="005E0D89"/>
    <w:rsid w:val="005E4276"/>
    <w:rsid w:val="005E50DE"/>
    <w:rsid w:val="005E7D89"/>
    <w:rsid w:val="005F4F7B"/>
    <w:rsid w:val="005F7097"/>
    <w:rsid w:val="0060364A"/>
    <w:rsid w:val="00616058"/>
    <w:rsid w:val="006161A4"/>
    <w:rsid w:val="0061650D"/>
    <w:rsid w:val="00617843"/>
    <w:rsid w:val="00620F34"/>
    <w:rsid w:val="00621FC9"/>
    <w:rsid w:val="00624C1B"/>
    <w:rsid w:val="00625471"/>
    <w:rsid w:val="00627853"/>
    <w:rsid w:val="00630C24"/>
    <w:rsid w:val="00634D0C"/>
    <w:rsid w:val="00637F71"/>
    <w:rsid w:val="00652BCE"/>
    <w:rsid w:val="00652E29"/>
    <w:rsid w:val="00653617"/>
    <w:rsid w:val="006703A5"/>
    <w:rsid w:val="0067136B"/>
    <w:rsid w:val="00691208"/>
    <w:rsid w:val="00693014"/>
    <w:rsid w:val="006A23C4"/>
    <w:rsid w:val="006A5575"/>
    <w:rsid w:val="006A702E"/>
    <w:rsid w:val="006B7A90"/>
    <w:rsid w:val="006C577B"/>
    <w:rsid w:val="006C5F38"/>
    <w:rsid w:val="006C6558"/>
    <w:rsid w:val="006D69E6"/>
    <w:rsid w:val="006D7D5A"/>
    <w:rsid w:val="006E4305"/>
    <w:rsid w:val="006F5763"/>
    <w:rsid w:val="00704BAB"/>
    <w:rsid w:val="007104D1"/>
    <w:rsid w:val="007135A6"/>
    <w:rsid w:val="00713CA3"/>
    <w:rsid w:val="00732F32"/>
    <w:rsid w:val="00733A73"/>
    <w:rsid w:val="00734EBD"/>
    <w:rsid w:val="007365A8"/>
    <w:rsid w:val="00736B6C"/>
    <w:rsid w:val="00745CFF"/>
    <w:rsid w:val="00746B72"/>
    <w:rsid w:val="00746FF2"/>
    <w:rsid w:val="00761133"/>
    <w:rsid w:val="007617F4"/>
    <w:rsid w:val="00764E84"/>
    <w:rsid w:val="007762F8"/>
    <w:rsid w:val="00783520"/>
    <w:rsid w:val="007875E6"/>
    <w:rsid w:val="007A02D3"/>
    <w:rsid w:val="007A1234"/>
    <w:rsid w:val="007A18B1"/>
    <w:rsid w:val="007A4E67"/>
    <w:rsid w:val="007B24F7"/>
    <w:rsid w:val="007C055A"/>
    <w:rsid w:val="007C1693"/>
    <w:rsid w:val="007D0DB2"/>
    <w:rsid w:val="007D0E84"/>
    <w:rsid w:val="007D681B"/>
    <w:rsid w:val="007E1A7B"/>
    <w:rsid w:val="007E1D85"/>
    <w:rsid w:val="007E5B48"/>
    <w:rsid w:val="007E702A"/>
    <w:rsid w:val="007E708F"/>
    <w:rsid w:val="0081154A"/>
    <w:rsid w:val="00820B36"/>
    <w:rsid w:val="00821948"/>
    <w:rsid w:val="008250FA"/>
    <w:rsid w:val="0082642D"/>
    <w:rsid w:val="00827BB2"/>
    <w:rsid w:val="0083023F"/>
    <w:rsid w:val="008329DA"/>
    <w:rsid w:val="008330E7"/>
    <w:rsid w:val="008351DA"/>
    <w:rsid w:val="008353A4"/>
    <w:rsid w:val="008372C6"/>
    <w:rsid w:val="0083733F"/>
    <w:rsid w:val="00844CE8"/>
    <w:rsid w:val="00847154"/>
    <w:rsid w:val="0086657B"/>
    <w:rsid w:val="008832E5"/>
    <w:rsid w:val="00891711"/>
    <w:rsid w:val="0089211A"/>
    <w:rsid w:val="00897669"/>
    <w:rsid w:val="008A04D2"/>
    <w:rsid w:val="008C0181"/>
    <w:rsid w:val="008D4451"/>
    <w:rsid w:val="008D62B7"/>
    <w:rsid w:val="008E6895"/>
    <w:rsid w:val="008F0DDA"/>
    <w:rsid w:val="00900B3C"/>
    <w:rsid w:val="00904FB5"/>
    <w:rsid w:val="0091136C"/>
    <w:rsid w:val="009157ED"/>
    <w:rsid w:val="00930D7D"/>
    <w:rsid w:val="0095047E"/>
    <w:rsid w:val="0095447B"/>
    <w:rsid w:val="00956101"/>
    <w:rsid w:val="00962CD6"/>
    <w:rsid w:val="00993A60"/>
    <w:rsid w:val="00996F90"/>
    <w:rsid w:val="009B014E"/>
    <w:rsid w:val="009D12B3"/>
    <w:rsid w:val="009D71D5"/>
    <w:rsid w:val="009E2887"/>
    <w:rsid w:val="009E5CB9"/>
    <w:rsid w:val="009E70AE"/>
    <w:rsid w:val="009F31F2"/>
    <w:rsid w:val="009F45A5"/>
    <w:rsid w:val="009F6E85"/>
    <w:rsid w:val="00A01C2E"/>
    <w:rsid w:val="00A02BB2"/>
    <w:rsid w:val="00A04052"/>
    <w:rsid w:val="00A12563"/>
    <w:rsid w:val="00A13708"/>
    <w:rsid w:val="00A47955"/>
    <w:rsid w:val="00A8185B"/>
    <w:rsid w:val="00A84DC7"/>
    <w:rsid w:val="00A86D5F"/>
    <w:rsid w:val="00A90607"/>
    <w:rsid w:val="00A90A90"/>
    <w:rsid w:val="00A9476C"/>
    <w:rsid w:val="00AA4875"/>
    <w:rsid w:val="00AA5E2F"/>
    <w:rsid w:val="00AA7317"/>
    <w:rsid w:val="00AC2C0B"/>
    <w:rsid w:val="00AC4905"/>
    <w:rsid w:val="00AE7922"/>
    <w:rsid w:val="00AF368A"/>
    <w:rsid w:val="00AF3970"/>
    <w:rsid w:val="00AF7784"/>
    <w:rsid w:val="00B01011"/>
    <w:rsid w:val="00B11878"/>
    <w:rsid w:val="00B377E1"/>
    <w:rsid w:val="00B40CC4"/>
    <w:rsid w:val="00B46F30"/>
    <w:rsid w:val="00B51483"/>
    <w:rsid w:val="00B518D8"/>
    <w:rsid w:val="00B608C1"/>
    <w:rsid w:val="00B60D3D"/>
    <w:rsid w:val="00B61D95"/>
    <w:rsid w:val="00B624BC"/>
    <w:rsid w:val="00B62E45"/>
    <w:rsid w:val="00B7186A"/>
    <w:rsid w:val="00B9187F"/>
    <w:rsid w:val="00BA59A7"/>
    <w:rsid w:val="00BB2D90"/>
    <w:rsid w:val="00BB3050"/>
    <w:rsid w:val="00BB7831"/>
    <w:rsid w:val="00BB7D74"/>
    <w:rsid w:val="00BC31BC"/>
    <w:rsid w:val="00BC6167"/>
    <w:rsid w:val="00BE4435"/>
    <w:rsid w:val="00BE6B71"/>
    <w:rsid w:val="00C05DCE"/>
    <w:rsid w:val="00C07BB3"/>
    <w:rsid w:val="00C106A0"/>
    <w:rsid w:val="00C139EA"/>
    <w:rsid w:val="00C2000E"/>
    <w:rsid w:val="00C340B9"/>
    <w:rsid w:val="00C379C9"/>
    <w:rsid w:val="00C400D6"/>
    <w:rsid w:val="00C422B8"/>
    <w:rsid w:val="00C566D6"/>
    <w:rsid w:val="00C74F82"/>
    <w:rsid w:val="00C767ED"/>
    <w:rsid w:val="00C839ED"/>
    <w:rsid w:val="00C84299"/>
    <w:rsid w:val="00C92F14"/>
    <w:rsid w:val="00C9308C"/>
    <w:rsid w:val="00C97365"/>
    <w:rsid w:val="00CA7294"/>
    <w:rsid w:val="00CC08BA"/>
    <w:rsid w:val="00CC330A"/>
    <w:rsid w:val="00CC5727"/>
    <w:rsid w:val="00CC7DBD"/>
    <w:rsid w:val="00CE38C0"/>
    <w:rsid w:val="00CF3350"/>
    <w:rsid w:val="00CF3849"/>
    <w:rsid w:val="00D0233C"/>
    <w:rsid w:val="00D066FC"/>
    <w:rsid w:val="00D11462"/>
    <w:rsid w:val="00D14D61"/>
    <w:rsid w:val="00D22A47"/>
    <w:rsid w:val="00D25A9D"/>
    <w:rsid w:val="00D275FC"/>
    <w:rsid w:val="00D3576E"/>
    <w:rsid w:val="00D37549"/>
    <w:rsid w:val="00D400A1"/>
    <w:rsid w:val="00D43297"/>
    <w:rsid w:val="00D46B0B"/>
    <w:rsid w:val="00D55ED8"/>
    <w:rsid w:val="00D65DBB"/>
    <w:rsid w:val="00D70797"/>
    <w:rsid w:val="00D70DB6"/>
    <w:rsid w:val="00D710CB"/>
    <w:rsid w:val="00D73F7F"/>
    <w:rsid w:val="00D76048"/>
    <w:rsid w:val="00D84237"/>
    <w:rsid w:val="00D93C80"/>
    <w:rsid w:val="00D94FB7"/>
    <w:rsid w:val="00D96A8F"/>
    <w:rsid w:val="00D97838"/>
    <w:rsid w:val="00DA3167"/>
    <w:rsid w:val="00DA4AA2"/>
    <w:rsid w:val="00DB406A"/>
    <w:rsid w:val="00DD54E3"/>
    <w:rsid w:val="00DF11A7"/>
    <w:rsid w:val="00E0106E"/>
    <w:rsid w:val="00E03E8D"/>
    <w:rsid w:val="00E24ABB"/>
    <w:rsid w:val="00E271CB"/>
    <w:rsid w:val="00E34FE3"/>
    <w:rsid w:val="00E55D6C"/>
    <w:rsid w:val="00E57396"/>
    <w:rsid w:val="00E81A1B"/>
    <w:rsid w:val="00E81A86"/>
    <w:rsid w:val="00E85ED0"/>
    <w:rsid w:val="00E8607B"/>
    <w:rsid w:val="00E91073"/>
    <w:rsid w:val="00E93583"/>
    <w:rsid w:val="00E96077"/>
    <w:rsid w:val="00EA2F86"/>
    <w:rsid w:val="00EA6D39"/>
    <w:rsid w:val="00EB1D97"/>
    <w:rsid w:val="00ED1199"/>
    <w:rsid w:val="00EF4C53"/>
    <w:rsid w:val="00F006F1"/>
    <w:rsid w:val="00F07B7B"/>
    <w:rsid w:val="00F23B95"/>
    <w:rsid w:val="00F23BFD"/>
    <w:rsid w:val="00F40388"/>
    <w:rsid w:val="00F63389"/>
    <w:rsid w:val="00F8747E"/>
    <w:rsid w:val="00F91977"/>
    <w:rsid w:val="00F92469"/>
    <w:rsid w:val="00F97B57"/>
    <w:rsid w:val="00F97F93"/>
    <w:rsid w:val="00FA4F7C"/>
    <w:rsid w:val="00FB0456"/>
    <w:rsid w:val="00FB47F4"/>
    <w:rsid w:val="00FD2B12"/>
    <w:rsid w:val="00FD2B9F"/>
    <w:rsid w:val="00FE2D26"/>
    <w:rsid w:val="00FE566D"/>
    <w:rsid w:val="00FE6F16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17088"/>
  <w15:docId w15:val="{8585DB2E-C352-4D0E-9577-4396B040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F1875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5E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rina.volovnikova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.secretary@rogersgroup.in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drpharma@vsn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drpharma@vsn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DB26-06FC-46C1-83C4-9FB34A8C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3768</Words>
  <Characters>21480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25198</CharactersWithSpaces>
  <SharedDoc>false</SharedDoc>
  <HLinks>
    <vt:vector size="18" baseType="variant"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mailto:bdrpharma@vsnl.com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7</cp:revision>
  <cp:lastPrinted>2018-03-22T06:08:00Z</cp:lastPrinted>
  <dcterms:created xsi:type="dcterms:W3CDTF">2021-03-12T12:19:00Z</dcterms:created>
  <dcterms:modified xsi:type="dcterms:W3CDTF">2025-07-31T07:52:00Z</dcterms:modified>
</cp:coreProperties>
</file>